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BF" w:rsidRPr="00D70ABF" w:rsidRDefault="00D70ABF" w:rsidP="00D70ABF">
      <w:pPr>
        <w:shd w:val="clear" w:color="auto" w:fill="DDDDDD"/>
        <w:spacing w:after="0" w:line="376" w:lineRule="atLeast"/>
        <w:outlineLvl w:val="0"/>
        <w:rPr>
          <w:rFonts w:ascii="Arial" w:eastAsia="Times New Roman" w:hAnsi="Arial" w:cs="Arial"/>
          <w:b/>
          <w:bCs/>
          <w:color w:val="161515"/>
          <w:kern w:val="36"/>
          <w:sz w:val="25"/>
          <w:szCs w:val="25"/>
          <w:lang w:eastAsia="ru-RU"/>
        </w:rPr>
      </w:pPr>
      <w:r w:rsidRPr="00D70ABF">
        <w:rPr>
          <w:rFonts w:ascii="Arial" w:eastAsia="Times New Roman" w:hAnsi="Arial" w:cs="Arial"/>
          <w:b/>
          <w:bCs/>
          <w:color w:val="161515"/>
          <w:kern w:val="36"/>
          <w:sz w:val="25"/>
          <w:szCs w:val="25"/>
          <w:lang w:eastAsia="ru-RU"/>
        </w:rPr>
        <w:t>Лазерная маркировка и гравировка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1" name="Рисунок 1" descr="http://www.linx.sinstr.ru/assets/cache/images/SL101-301/141x141-SL1_main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nx.sinstr.ru/assets/cache/images/SL101-301/141x141-SL1_main.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BF" w:rsidRPr="00D70ABF" w:rsidRDefault="00D70ABF" w:rsidP="00D70ABF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r w:rsidRPr="00D70ABF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LINX SL1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proofErr w:type="spellStart"/>
      <w:proofErr w:type="gram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Linx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SL1 – лазерный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маркиратор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начального уровня для нанесения на широкий ассортимент материалов и поверхностей многострочной буквенно-цифровой информации, логотипов и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штрихкодов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на поточной линии или в статическом режиме.</w:t>
      </w:r>
      <w:proofErr w:type="gram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Надежность и низкие затраты на содержание обеспечиваются продуманным дизайном системы и длительным сроком службы лазерной трубки. Выгодная альтернатива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каплеструйному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маркиратору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.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6" w:history="1">
        <w:r w:rsidRPr="00D70ABF">
          <w:rPr>
            <w:rFonts w:ascii="Arial" w:eastAsia="Times New Roman" w:hAnsi="Arial" w:cs="Arial"/>
            <w:b/>
            <w:bCs/>
            <w:color w:val="353251"/>
            <w:sz w:val="18"/>
            <w:u w:val="single"/>
            <w:lang w:eastAsia="ru-RU"/>
          </w:rPr>
          <w:t>Подробнее</w:t>
        </w:r>
      </w:hyperlink>
    </w:p>
    <w:p w:rsidR="00D70ABF" w:rsidRPr="00D70ABF" w:rsidRDefault="00D70ABF" w:rsidP="00D70ABF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2" name="Рисунок 2" descr="http://www.linx.sinstr.ru/assets/cache/images/SL101-301/141x141-LX2804_m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nx.sinstr.ru/assets/cache/images/SL101-301/141x141-LX2804_m.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BF" w:rsidRPr="00D70ABF" w:rsidRDefault="00D70ABF" w:rsidP="00D70ABF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r w:rsidRPr="00D70ABF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LINX SL102 / SL302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CO2 лазеры с мощностью лазерного излучателя 10 и 30 Вт созданы для удобной и простой инсталляции, использования и обслуживания. Идеально подходят как для решения большинства базовых задач таких, как маркировка 1-2 строк текста, так и для задач, связанных с многострочной маркировкой на разных поверхностях и скоростях...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8" w:history="1">
        <w:r w:rsidRPr="00D70ABF">
          <w:rPr>
            <w:rFonts w:ascii="Arial" w:eastAsia="Times New Roman" w:hAnsi="Arial" w:cs="Arial"/>
            <w:b/>
            <w:bCs/>
            <w:color w:val="353251"/>
            <w:sz w:val="18"/>
            <w:u w:val="single"/>
            <w:lang w:eastAsia="ru-RU"/>
          </w:rPr>
          <w:t>Подробнее</w:t>
        </w:r>
      </w:hyperlink>
    </w:p>
    <w:p w:rsidR="00D70ABF" w:rsidRPr="00D70ABF" w:rsidRDefault="00D70ABF" w:rsidP="00D70ABF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3" name="Рисунок 3" descr="http://www.linx.sinstr.ru/assets/cache/images/501/141x141-LX2118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nx.sinstr.ru/assets/cache/images/501/141x141-LX2118.5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BF" w:rsidRPr="00D70ABF" w:rsidRDefault="00D70ABF" w:rsidP="00D70ABF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r w:rsidRPr="00D70ABF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LINX SL501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Linx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SL501 обеспечивает качественную маркировку на высокоскоростных линиях (до 740 м/мин</w:t>
      </w:r>
      <w:proofErr w:type="gram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,) </w:t>
      </w:r>
      <w:proofErr w:type="gram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является идеальным для маркировки этикеток на линиях в пивоваренной промышленности и индустрии напитков.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Linx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SL501 может использоваться и на более медленных поточных линиях, для нанесения простых или сложных сообщений на изделия и материалы, трудные для маркировки, например</w:t>
      </w:r>
      <w:proofErr w:type="gram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,</w:t>
      </w:r>
      <w:proofErr w:type="gram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резина, стекло и некоторые виды пластмасс...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10" w:history="1">
        <w:r w:rsidRPr="00D70ABF">
          <w:rPr>
            <w:rFonts w:ascii="Arial" w:eastAsia="Times New Roman" w:hAnsi="Arial" w:cs="Arial"/>
            <w:b/>
            <w:bCs/>
            <w:color w:val="353251"/>
            <w:sz w:val="18"/>
            <w:u w:val="single"/>
            <w:lang w:eastAsia="ru-RU"/>
          </w:rPr>
          <w:t>Подробнее</w:t>
        </w:r>
      </w:hyperlink>
    </w:p>
    <w:p w:rsidR="00D70ABF" w:rsidRPr="00D70ABF" w:rsidRDefault="00D70ABF" w:rsidP="00D70ABF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4" name="Рисунок 4" descr="http://www.linx.sinstr.ru/assets/cache/images/FastLine/141x141-FL_General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nx.sinstr.ru/assets/cache/images/FastLine/141x141-FL_General.5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BF" w:rsidRPr="00D70ABF" w:rsidRDefault="00D70ABF" w:rsidP="00D70ABF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proofErr w:type="spellStart"/>
      <w:r w:rsidRPr="00D70ABF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Fast</w:t>
      </w:r>
      <w:proofErr w:type="spellEnd"/>
      <w:r w:rsidRPr="00D70ABF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 xml:space="preserve"> </w:t>
      </w:r>
      <w:proofErr w:type="spellStart"/>
      <w:r w:rsidRPr="00D70ABF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Line</w:t>
      </w:r>
      <w:proofErr w:type="spellEnd"/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proofErr w:type="spellStart"/>
      <w:proofErr w:type="gram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Маркиратор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серии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Fast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Line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представляет собой лазерную диодную систему с длиной волны 1 мкм, со сканирующей оптикой и с мощностью лазерного излучателя 30 Вт. Недорогой, экономичный и надежный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маркироатор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идеально подходит для решения большинства базовых задач таких, как маркировка 1-2 строк текста или логотипов на крашеной бумаге, картоне, этикетке или окрашенном металле при скорости поточной линии до 100 м/мин.</w:t>
      </w:r>
      <w:proofErr w:type="gramEnd"/>
    </w:p>
    <w:p w:rsidR="00D70ABF" w:rsidRPr="00D70ABF" w:rsidRDefault="00D70ABF" w:rsidP="00D70ABF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12" w:history="1">
        <w:r w:rsidRPr="00D70ABF">
          <w:rPr>
            <w:rFonts w:ascii="Arial" w:eastAsia="Times New Roman" w:hAnsi="Arial" w:cs="Arial"/>
            <w:b/>
            <w:bCs/>
            <w:color w:val="353251"/>
            <w:sz w:val="18"/>
            <w:u w:val="single"/>
            <w:lang w:eastAsia="ru-RU"/>
          </w:rPr>
          <w:t>Подробнее</w:t>
        </w:r>
      </w:hyperlink>
    </w:p>
    <w:p w:rsidR="00D70ABF" w:rsidRPr="00D70ABF" w:rsidRDefault="00D70ABF" w:rsidP="00D70ABF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lastRenderedPageBreak/>
        <w:drawing>
          <wp:inline distT="0" distB="0" distL="0" distR="0">
            <wp:extent cx="1343660" cy="1343660"/>
            <wp:effectExtent l="19050" t="0" r="8890" b="0"/>
            <wp:docPr id="5" name="Рисунок 5" descr="http://www.linx.sinstr.ru/assets/cache/images/FastLine/141x141-FLplus_General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inx.sinstr.ru/assets/cache/images/FastLine/141x141-FLplus_General.5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BF" w:rsidRPr="00D70ABF" w:rsidRDefault="00D70ABF" w:rsidP="00D70ABF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proofErr w:type="spellStart"/>
      <w:r w:rsidRPr="00D70ABF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Fast</w:t>
      </w:r>
      <w:proofErr w:type="spellEnd"/>
      <w:r w:rsidRPr="00D70ABF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 xml:space="preserve"> </w:t>
      </w:r>
      <w:proofErr w:type="spellStart"/>
      <w:r w:rsidRPr="00D70ABF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Line</w:t>
      </w:r>
      <w:proofErr w:type="spellEnd"/>
      <w:r w:rsidRPr="00D70ABF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 xml:space="preserve"> </w:t>
      </w:r>
      <w:proofErr w:type="spellStart"/>
      <w:r w:rsidRPr="00D70ABF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plus</w:t>
      </w:r>
      <w:proofErr w:type="spellEnd"/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Лазерный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маркиратор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Fast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Line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plus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обеспечивает качественное нанесение любой фиксированной и переменной информации или логотипа, размером ограниченным только установленной линзой при скорости поточной линии до 125 м/минуту. </w:t>
      </w:r>
      <w:proofErr w:type="gram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Высоконадежный волоконный лазер и система гальванометрических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сканаторов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обеспечивают хорошее качество маркировки и надежность системы при небольших габаритах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маркиратора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.</w:t>
      </w:r>
      <w:proofErr w:type="gramEnd"/>
    </w:p>
    <w:p w:rsidR="00D70ABF" w:rsidRPr="00D70ABF" w:rsidRDefault="00D70ABF" w:rsidP="00D70ABF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14" w:history="1">
        <w:r w:rsidRPr="00D70ABF">
          <w:rPr>
            <w:rFonts w:ascii="Arial" w:eastAsia="Times New Roman" w:hAnsi="Arial" w:cs="Arial"/>
            <w:b/>
            <w:bCs/>
            <w:color w:val="353251"/>
            <w:sz w:val="18"/>
            <w:u w:val="single"/>
            <w:lang w:eastAsia="ru-RU"/>
          </w:rPr>
          <w:t>Подробнее</w:t>
        </w:r>
      </w:hyperlink>
    </w:p>
    <w:p w:rsidR="00D70ABF" w:rsidRPr="00D70ABF" w:rsidRDefault="00D70ABF" w:rsidP="00D70ABF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484C4D"/>
          <w:sz w:val="16"/>
          <w:szCs w:val="16"/>
          <w:lang w:eastAsia="ru-RU"/>
        </w:rPr>
        <w:drawing>
          <wp:inline distT="0" distB="0" distL="0" distR="0">
            <wp:extent cx="1343660" cy="1343660"/>
            <wp:effectExtent l="19050" t="0" r="8890" b="0"/>
            <wp:docPr id="6" name="Рисунок 6" descr="http://www.linx.sinstr.ru/assets/cache/images/FastLine/141x141-Strix013.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inx.sinstr.ru/assets/cache/images/FastLine/141x141-Strix013.5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ABF" w:rsidRPr="00D70ABF" w:rsidRDefault="00D70ABF" w:rsidP="00D70ABF">
      <w:pPr>
        <w:shd w:val="clear" w:color="auto" w:fill="DDDDDD"/>
        <w:spacing w:after="0" w:line="200" w:lineRule="atLeast"/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</w:pPr>
      <w:r w:rsidRPr="00D70ABF">
        <w:rPr>
          <w:rFonts w:ascii="Arial" w:eastAsia="Times New Roman" w:hAnsi="Arial" w:cs="Arial"/>
          <w:b/>
          <w:bCs/>
          <w:color w:val="161515"/>
          <w:sz w:val="20"/>
          <w:szCs w:val="20"/>
          <w:lang w:eastAsia="ru-RU"/>
        </w:rPr>
        <w:t>Штрих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Серия Штрих - настольные лазерные установки созданы на основе волоконного </w:t>
      </w:r>
      <w:proofErr w:type="spellStart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>иттербиевого</w:t>
      </w:r>
      <w:proofErr w:type="spellEnd"/>
      <w:r w:rsidRPr="00D70ABF">
        <w:rPr>
          <w:rFonts w:ascii="Tahoma" w:eastAsia="Times New Roman" w:hAnsi="Tahoma" w:cs="Tahoma"/>
          <w:color w:val="474F53"/>
          <w:sz w:val="16"/>
          <w:szCs w:val="16"/>
          <w:lang w:eastAsia="ru-RU"/>
        </w:rPr>
        <w:t xml:space="preserve"> импульсного лазера. Предназначены для создания высококачественных изображений на различных материалах: бумага, картон, фольга, резина, поликарбонат, ПВХ, АБС, неокрашенные металлы и металлы с покрытием, керамика, камень, кожа. Штрих поддерживает три режима гравировки: растровый, векторный и 3D гравировка.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rPr>
          <w:rFonts w:ascii="Tahoma" w:eastAsia="Times New Roman" w:hAnsi="Tahoma" w:cs="Tahoma"/>
          <w:color w:val="474F53"/>
          <w:sz w:val="16"/>
          <w:szCs w:val="16"/>
          <w:lang w:eastAsia="ru-RU"/>
        </w:rPr>
      </w:pPr>
      <w:hyperlink r:id="rId16" w:history="1">
        <w:r w:rsidRPr="00D70ABF">
          <w:rPr>
            <w:rFonts w:ascii="Arial" w:eastAsia="Times New Roman" w:hAnsi="Arial" w:cs="Arial"/>
            <w:b/>
            <w:bCs/>
            <w:color w:val="353251"/>
            <w:sz w:val="18"/>
            <w:u w:val="single"/>
            <w:lang w:eastAsia="ru-RU"/>
          </w:rPr>
          <w:t>Подробнее</w:t>
        </w:r>
      </w:hyperlink>
    </w:p>
    <w:p w:rsidR="00D70ABF" w:rsidRPr="00D70ABF" w:rsidRDefault="00D70ABF" w:rsidP="00D7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ABF" w:rsidRPr="00D70ABF" w:rsidRDefault="00D70ABF" w:rsidP="00D70ABF">
      <w:pPr>
        <w:shd w:val="clear" w:color="auto" w:fill="DDDDDD"/>
        <w:spacing w:after="0" w:line="376" w:lineRule="atLeast"/>
        <w:outlineLvl w:val="1"/>
        <w:rPr>
          <w:rFonts w:ascii="Arial" w:eastAsia="Times New Roman" w:hAnsi="Arial" w:cs="Arial"/>
          <w:b/>
          <w:bCs/>
          <w:color w:val="161515"/>
          <w:sz w:val="25"/>
          <w:szCs w:val="25"/>
          <w:lang w:eastAsia="ru-RU"/>
        </w:rPr>
      </w:pPr>
      <w:r w:rsidRPr="00D70ABF">
        <w:rPr>
          <w:rFonts w:ascii="Arial" w:eastAsia="Times New Roman" w:hAnsi="Arial" w:cs="Arial"/>
          <w:b/>
          <w:bCs/>
          <w:color w:val="161515"/>
          <w:sz w:val="25"/>
          <w:szCs w:val="25"/>
          <w:lang w:eastAsia="ru-RU"/>
        </w:rPr>
        <w:t>Лазерная технология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Основные преимущества:</w:t>
      </w:r>
    </w:p>
    <w:p w:rsidR="00D70ABF" w:rsidRPr="00D70ABF" w:rsidRDefault="00D70ABF" w:rsidP="00D70ABF">
      <w:pPr>
        <w:numPr>
          <w:ilvl w:val="0"/>
          <w:numId w:val="1"/>
        </w:numPr>
        <w:shd w:val="clear" w:color="auto" w:fill="DDDDDD"/>
        <w:spacing w:after="0" w:line="250" w:lineRule="atLeast"/>
        <w:ind w:left="0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Точная и</w:t>
      </w:r>
      <w:r w:rsidRPr="00D70ABF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D70ABF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высококачественная</w:t>
      </w:r>
      <w:r w:rsidRPr="00D70ABF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лазерная</w:t>
      </w:r>
      <w:r w:rsidRPr="00D70ABF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D70ABF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маркировка</w:t>
      </w:r>
    </w:p>
    <w:p w:rsidR="00D70ABF" w:rsidRPr="00D70ABF" w:rsidRDefault="00D70ABF" w:rsidP="00D70ABF">
      <w:pPr>
        <w:numPr>
          <w:ilvl w:val="0"/>
          <w:numId w:val="1"/>
        </w:numPr>
        <w:shd w:val="clear" w:color="auto" w:fill="DDDDDD"/>
        <w:spacing w:after="0" w:line="250" w:lineRule="atLeast"/>
        <w:ind w:left="0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Низкая общая стоимость содержания</w:t>
      </w:r>
      <w:r w:rsidRPr="00D70ABF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с предсказуемыми вложениями</w:t>
      </w:r>
    </w:p>
    <w:p w:rsidR="00D70ABF" w:rsidRPr="00D70ABF" w:rsidRDefault="00D70ABF" w:rsidP="00D70ABF">
      <w:pPr>
        <w:numPr>
          <w:ilvl w:val="0"/>
          <w:numId w:val="1"/>
        </w:numPr>
        <w:shd w:val="clear" w:color="auto" w:fill="DDDDDD"/>
        <w:spacing w:after="0" w:line="250" w:lineRule="atLeast"/>
        <w:ind w:left="0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Надежное оборудование</w:t>
      </w: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, которое прослужит долго</w:t>
      </w:r>
    </w:p>
    <w:p w:rsidR="00D70ABF" w:rsidRPr="00D70ABF" w:rsidRDefault="00D70ABF" w:rsidP="00D70ABF">
      <w:pPr>
        <w:numPr>
          <w:ilvl w:val="0"/>
          <w:numId w:val="1"/>
        </w:numPr>
        <w:shd w:val="clear" w:color="auto" w:fill="DDDDDD"/>
        <w:spacing w:after="0" w:line="250" w:lineRule="atLeast"/>
        <w:ind w:left="0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Чистота и легкое обслуживание</w:t>
      </w:r>
      <w:r w:rsidRPr="00D70ABF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– нет жидкостей и других расходных материалов</w:t>
      </w:r>
    </w:p>
    <w:p w:rsidR="00D70ABF" w:rsidRPr="00D70ABF" w:rsidRDefault="00D70ABF" w:rsidP="00D70ABF">
      <w:pPr>
        <w:numPr>
          <w:ilvl w:val="0"/>
          <w:numId w:val="1"/>
        </w:numPr>
        <w:shd w:val="clear" w:color="auto" w:fill="DDDDDD"/>
        <w:spacing w:after="0" w:line="250" w:lineRule="atLeast"/>
        <w:ind w:left="0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Более безвредный</w:t>
      </w:r>
      <w:r w:rsidRPr="00D70ABF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для окружающей среды и человека вид оборудования</w:t>
      </w:r>
    </w:p>
    <w:p w:rsidR="00D70ABF" w:rsidRPr="00D70ABF" w:rsidRDefault="00D70ABF" w:rsidP="00D70ABF">
      <w:pPr>
        <w:numPr>
          <w:ilvl w:val="0"/>
          <w:numId w:val="1"/>
        </w:numPr>
        <w:shd w:val="clear" w:color="auto" w:fill="DDDDDD"/>
        <w:spacing w:after="0" w:line="250" w:lineRule="atLeast"/>
        <w:ind w:left="0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Маркировка</w:t>
      </w:r>
      <w:r w:rsidRPr="00D70ABF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на широком диапазоне материалов и</w:t>
      </w:r>
      <w:r w:rsidRPr="00D70ABF">
        <w:rPr>
          <w:rFonts w:ascii="Tahoma" w:eastAsia="Times New Roman" w:hAnsi="Tahoma" w:cs="Tahoma"/>
          <w:color w:val="484C4D"/>
          <w:sz w:val="16"/>
          <w:lang w:eastAsia="ru-RU"/>
        </w:rPr>
        <w:t> </w:t>
      </w:r>
      <w:r w:rsidRPr="00D70ABF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на большой площади поверхности</w:t>
      </w:r>
    </w:p>
    <w:p w:rsidR="00D70ABF" w:rsidRPr="00D70ABF" w:rsidRDefault="00D70ABF" w:rsidP="00D70ABF">
      <w:pPr>
        <w:numPr>
          <w:ilvl w:val="0"/>
          <w:numId w:val="1"/>
        </w:numPr>
        <w:shd w:val="clear" w:color="auto" w:fill="DDDDDD"/>
        <w:spacing w:after="0" w:line="250" w:lineRule="atLeast"/>
        <w:ind w:left="0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Несмываемая маркировка</w:t>
      </w:r>
      <w:r w:rsidRPr="00D70ABF">
        <w:rPr>
          <w:rFonts w:ascii="Tahoma" w:eastAsia="Times New Roman" w:hAnsi="Tahoma" w:cs="Tahoma"/>
          <w:b/>
          <w:bCs/>
          <w:color w:val="161515"/>
          <w:sz w:val="16"/>
          <w:lang w:eastAsia="ru-RU"/>
        </w:rPr>
        <w:t> исключает риск несанкционированного удаления или подделывания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 </w:t>
      </w:r>
    </w:p>
    <w:p w:rsidR="00D70ABF" w:rsidRPr="00D70ABF" w:rsidRDefault="00D70ABF" w:rsidP="00D70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AB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38.25pt;height:.65pt" o:hrpct="0" o:hralign="center" o:hrstd="t" o:hrnoshade="t" o:hr="t" fillcolor="#d1d1d1" stroked="f"/>
        </w:pic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Лазерная CO2 технология уже широко используются для маркировки таких поверхностей как картон, стекло, пластмасса и окрашенный металл в различных промышленностях и на любых поточных линиях.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Лазерная маркировка - один из самых надежных, универсальных и рентабельных методов маркировки.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Эти качества делают технологию подходящей для больших производственных объемов, предлагая легкий метод промышленной маркировки на продуктах питания, напитках и фармацевтических препаратах.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Суть процесса маркировки заключается в отклонении зеркалами лазерного луча, который проходит через линзу, формируя изображение на объекте.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Лазерная маркировка и гравировка достигается путем удаления верхнего слоя материала или покрытия с продукта или упаковки.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Например, во время лазерной маркировки окрашенного картона удаляется самый верхний слой краски и, контрастное изображение будет </w:t>
      </w:r>
      <w:proofErr w:type="gramStart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получатся</w:t>
      </w:r>
      <w:proofErr w:type="gramEnd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за счет белого голого картона. Тот же самый процесс на пластмассе изменяет химическую природу материала, </w:t>
      </w:r>
      <w:proofErr w:type="gramStart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либо</w:t>
      </w:r>
      <w:proofErr w:type="gramEnd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заставляя его плавиться, либо меняя цвет в месте воздействия. Маркируя стекло, лазер оставляет микротрещины, нанося информацию на </w:t>
      </w:r>
      <w:proofErr w:type="gramStart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стекло</w:t>
      </w:r>
      <w:proofErr w:type="gramEnd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путем его гравировки, не ослабляя сам материал.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Лазерная технология гарантирует высокую точность, обеспечивая круглосуточную работу без расходных материалов и ручного вмешательства. И не </w:t>
      </w:r>
      <w:proofErr w:type="gramStart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важно</w:t>
      </w:r>
      <w:proofErr w:type="gramEnd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какой мощности лазер вы используете, любой из лазерных маркировщиков </w:t>
      </w:r>
      <w:proofErr w:type="spellStart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Linx</w:t>
      </w:r>
      <w:proofErr w:type="spellEnd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SL окупится быстро, вернув вложенные в него инвестиции.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lastRenderedPageBreak/>
        <w:t>Однако, СО</w:t>
      </w:r>
      <w:proofErr w:type="gramStart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2</w:t>
      </w:r>
      <w:proofErr w:type="gramEnd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маркировка зависит от природы материала, на который требуется нанести информацию. Разные материалы могут потребовать различной скорости печати из-за сложности процесса выжигания. Например, СО</w:t>
      </w:r>
      <w:proofErr w:type="gramStart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2</w:t>
      </w:r>
      <w:proofErr w:type="gramEnd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лазер абсолютно не подходит для маркировки неокрашенного металла, так как он отражает лазерный луч и в этом случае необходимо наносить дополнительный слой краски для поглощения луча. Некоторые пластмассы пропускают лазерный луч CO2 и не могут быть </w:t>
      </w:r>
      <w:proofErr w:type="spellStart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отмаркированы</w:t>
      </w:r>
      <w:proofErr w:type="spellEnd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. В этом случае, при производстве тары, необходимо включать специальные добавки, которые поглощают луч или использовать лазер с другой длиной волны, например, диодный лазер.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Когда вы получите свой новый лазерный маркировщик, мы установим его и настроим параметры таким образом, чтобы использование его мощности было эффективно. Это гарантирует вам продолжительный срок службы трубки, и даст возможность не думать о простоях и обслуживании маркировщика в течение нескольких лет.</w:t>
      </w:r>
    </w:p>
    <w:p w:rsidR="00D70ABF" w:rsidRPr="00D70ABF" w:rsidRDefault="00D70ABF" w:rsidP="00D70ABF">
      <w:pPr>
        <w:shd w:val="clear" w:color="auto" w:fill="DDDDDD"/>
        <w:spacing w:after="0" w:line="250" w:lineRule="atLeast"/>
        <w:jc w:val="both"/>
        <w:rPr>
          <w:rFonts w:ascii="Tahoma" w:eastAsia="Times New Roman" w:hAnsi="Tahoma" w:cs="Tahoma"/>
          <w:color w:val="484C4D"/>
          <w:sz w:val="16"/>
          <w:szCs w:val="16"/>
          <w:lang w:eastAsia="ru-RU"/>
        </w:rPr>
      </w:pPr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Диодные лазеры предлагают более широкие возможности печати, позволяют маркировать практически любой материал, включая неокрашенный металл и керамику, и имеют более длительный срок службы. Стоимость данных лазерных систем значительно выше, чем СО</w:t>
      </w:r>
      <w:proofErr w:type="gramStart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>2</w:t>
      </w:r>
      <w:proofErr w:type="gramEnd"/>
      <w:r w:rsidRPr="00D70ABF">
        <w:rPr>
          <w:rFonts w:ascii="Tahoma" w:eastAsia="Times New Roman" w:hAnsi="Tahoma" w:cs="Tahoma"/>
          <w:color w:val="484C4D"/>
          <w:sz w:val="16"/>
          <w:szCs w:val="16"/>
          <w:lang w:eastAsia="ru-RU"/>
        </w:rPr>
        <w:t xml:space="preserve"> лазера.</w:t>
      </w:r>
    </w:p>
    <w:p w:rsidR="000E1425" w:rsidRDefault="00D70ABF"/>
    <w:sectPr w:rsidR="000E1425" w:rsidSect="00C3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4D88"/>
    <w:multiLevelType w:val="multilevel"/>
    <w:tmpl w:val="5B24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ABF"/>
    <w:rsid w:val="00004398"/>
    <w:rsid w:val="000058EA"/>
    <w:rsid w:val="00032770"/>
    <w:rsid w:val="0005150E"/>
    <w:rsid w:val="0006522E"/>
    <w:rsid w:val="000B2F2F"/>
    <w:rsid w:val="000E60C4"/>
    <w:rsid w:val="001B4EF1"/>
    <w:rsid w:val="002F4423"/>
    <w:rsid w:val="003553A2"/>
    <w:rsid w:val="00472E1E"/>
    <w:rsid w:val="004779FC"/>
    <w:rsid w:val="004A3D56"/>
    <w:rsid w:val="00533437"/>
    <w:rsid w:val="00611301"/>
    <w:rsid w:val="0061400B"/>
    <w:rsid w:val="00661B4A"/>
    <w:rsid w:val="006D40A1"/>
    <w:rsid w:val="00713EDE"/>
    <w:rsid w:val="00746149"/>
    <w:rsid w:val="007761AB"/>
    <w:rsid w:val="00822001"/>
    <w:rsid w:val="008C79A3"/>
    <w:rsid w:val="008F156B"/>
    <w:rsid w:val="00997C88"/>
    <w:rsid w:val="009F52A0"/>
    <w:rsid w:val="00AF1F9C"/>
    <w:rsid w:val="00B064F5"/>
    <w:rsid w:val="00B71B38"/>
    <w:rsid w:val="00BA7D89"/>
    <w:rsid w:val="00BE5390"/>
    <w:rsid w:val="00C00E1E"/>
    <w:rsid w:val="00C333C6"/>
    <w:rsid w:val="00CC222E"/>
    <w:rsid w:val="00CE45E3"/>
    <w:rsid w:val="00CF1BDB"/>
    <w:rsid w:val="00D407F4"/>
    <w:rsid w:val="00D70ABF"/>
    <w:rsid w:val="00D839AC"/>
    <w:rsid w:val="00DA1B14"/>
    <w:rsid w:val="00E474BA"/>
    <w:rsid w:val="00EC6918"/>
    <w:rsid w:val="00F914FB"/>
    <w:rsid w:val="00FF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6"/>
  </w:style>
  <w:style w:type="paragraph" w:styleId="1">
    <w:name w:val="heading 1"/>
    <w:basedOn w:val="a"/>
    <w:link w:val="10"/>
    <w:uiPriority w:val="9"/>
    <w:qFormat/>
    <w:rsid w:val="00D70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0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A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ABF"/>
    <w:rPr>
      <w:color w:val="0000FF"/>
      <w:u w:val="single"/>
    </w:rPr>
  </w:style>
  <w:style w:type="character" w:styleId="a5">
    <w:name w:val="Strong"/>
    <w:basedOn w:val="a0"/>
    <w:uiPriority w:val="22"/>
    <w:qFormat/>
    <w:rsid w:val="00D70ABF"/>
    <w:rPr>
      <w:b/>
      <w:bCs/>
    </w:rPr>
  </w:style>
  <w:style w:type="character" w:customStyle="1" w:styleId="apple-converted-space">
    <w:name w:val="apple-converted-space"/>
    <w:basedOn w:val="a0"/>
    <w:rsid w:val="00D70ABF"/>
  </w:style>
  <w:style w:type="paragraph" w:styleId="a6">
    <w:name w:val="Balloon Text"/>
    <w:basedOn w:val="a"/>
    <w:link w:val="a7"/>
    <w:uiPriority w:val="99"/>
    <w:semiHidden/>
    <w:unhideWhenUsed/>
    <w:rsid w:val="00D7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8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194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116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410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834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4895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670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5727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0491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6719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6211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4472">
              <w:marLeft w:val="20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x.sinstr.ru/linx-x02.htm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x.sinstr.ru/fastline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nx.sinstr.ru/shtrix-013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nx.sinstr.ru/linx-sl1.ht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linx.sinstr.ru/linx501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inx.sinstr.ru/fast-line-plu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5109</Characters>
  <Application>Microsoft Office Word</Application>
  <DocSecurity>0</DocSecurity>
  <Lines>42</Lines>
  <Paragraphs>11</Paragraphs>
  <ScaleCrop>false</ScaleCrop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2015-10-01T05:41:00Z</dcterms:created>
  <dcterms:modified xsi:type="dcterms:W3CDTF">2015-10-01T05:42:00Z</dcterms:modified>
</cp:coreProperties>
</file>