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42" w:rsidRPr="00AB4D42" w:rsidRDefault="00AB4D42" w:rsidP="00AB4D42">
      <w:pPr>
        <w:shd w:val="clear" w:color="auto" w:fill="FFFFFF"/>
        <w:spacing w:after="204" w:line="240" w:lineRule="auto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B4D42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Прибор зарегистрирован в Государственном реестре под № 33552-06 (№ сертификата 26305) и допущен к применению в Российской Федерации.</w:t>
      </w:r>
      <w:r w:rsidRPr="00AB4D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AB4D42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ТУ 4215-002-60283547-2006</w:t>
      </w:r>
      <w:r w:rsidRPr="00AB4D42">
        <w:rPr>
          <w:rFonts w:ascii="Arial" w:eastAsia="Times New Roman" w:hAnsi="Arial" w:cs="Arial"/>
          <w:b/>
          <w:bCs/>
          <w:color w:val="444444"/>
          <w:sz w:val="19"/>
          <w:szCs w:val="19"/>
          <w:lang w:eastAsia="ru-RU"/>
        </w:rPr>
        <w:br/>
      </w:r>
      <w:r w:rsidRPr="00AB4D42">
        <w:rPr>
          <w:rFonts w:ascii="Arial" w:eastAsia="Times New Roman" w:hAnsi="Arial" w:cs="Arial"/>
          <w:b/>
          <w:bCs/>
          <w:color w:val="444444"/>
          <w:sz w:val="19"/>
          <w:lang w:eastAsia="ru-RU"/>
        </w:rPr>
        <w:t>Патент RU 2100803 C1, 27.12.1997; RU 97111370, А, 1999.06.10</w:t>
      </w:r>
      <w:r w:rsidRPr="00AB4D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  <w:t xml:space="preserve">Казахстан: </w:t>
      </w:r>
      <w:proofErr w:type="spellStart"/>
      <w:r w:rsidRPr="00AB4D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рег</w:t>
      </w:r>
      <w:proofErr w:type="spellEnd"/>
      <w:r w:rsidRPr="00AB4D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 №: KZ.02.03.01818-2007/33552-06, № сертификата 3474. </w:t>
      </w:r>
    </w:p>
    <w:p w:rsidR="00AB4D42" w:rsidRPr="00AB4D42" w:rsidRDefault="00AB4D42" w:rsidP="00AB4D42">
      <w:pPr>
        <w:shd w:val="clear" w:color="auto" w:fill="FFFFFF"/>
        <w:spacing w:after="136" w:line="240" w:lineRule="auto"/>
        <w:outlineLvl w:val="1"/>
        <w:rPr>
          <w:rFonts w:ascii="SegoeUI" w:eastAsia="Times New Roman" w:hAnsi="SegoeUI" w:cs="Arial"/>
          <w:color w:val="0065B2"/>
          <w:sz w:val="33"/>
          <w:szCs w:val="33"/>
          <w:lang w:eastAsia="ru-RU"/>
        </w:rPr>
      </w:pPr>
      <w:proofErr w:type="spellStart"/>
      <w:r w:rsidRPr="00AB4D42">
        <w:rPr>
          <w:rFonts w:ascii="SegoeUI" w:eastAsia="Times New Roman" w:hAnsi="SegoeUI" w:cs="Arial"/>
          <w:color w:val="0065B2"/>
          <w:sz w:val="33"/>
          <w:szCs w:val="33"/>
          <w:lang w:eastAsia="ru-RU"/>
        </w:rPr>
        <w:t>Октанометр</w:t>
      </w:r>
      <w:proofErr w:type="spellEnd"/>
      <w:r w:rsidRPr="00AB4D42">
        <w:rPr>
          <w:rFonts w:ascii="SegoeUI" w:eastAsia="Times New Roman" w:hAnsi="SegoeUI" w:cs="Arial"/>
          <w:color w:val="0065B2"/>
          <w:sz w:val="33"/>
          <w:szCs w:val="33"/>
          <w:lang w:eastAsia="ru-RU"/>
        </w:rPr>
        <w:t xml:space="preserve"> SHATOX SX-250</w:t>
      </w:r>
    </w:p>
    <w:p w:rsidR="00AB4D42" w:rsidRPr="00AB4D42" w:rsidRDefault="00AB4D42" w:rsidP="00AB4D42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AB4D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     Модификация </w:t>
      </w:r>
      <w:proofErr w:type="spellStart"/>
      <w:r w:rsidRPr="00AB4D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октанометра</w:t>
      </w:r>
      <w:proofErr w:type="spellEnd"/>
      <w:r w:rsidRPr="00AB4D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для работы с топливами и </w:t>
      </w:r>
      <w:r w:rsidRPr="00AB4D42">
        <w:rPr>
          <w:rFonts w:ascii="Arial" w:eastAsia="Times New Roman" w:hAnsi="Arial" w:cs="Arial"/>
          <w:color w:val="444444"/>
          <w:sz w:val="19"/>
          <w:szCs w:val="19"/>
          <w:u w:val="single"/>
          <w:lang w:eastAsia="ru-RU"/>
        </w:rPr>
        <w:t>маслами</w:t>
      </w:r>
      <w:r w:rsidRPr="00AB4D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. Представляет собой продолжение серии "2XX" (анализ качества топлив и масел). Дополнительно имеет режим для определения чистоты минеральных, синтетических, индустриальных масел, режим для измерения диэлектрической проницаемости нефтепродуктов, а также режим для определения содержания воды в дизельном топливе. В анализаторе используется автоматическая компьютерная калибровка, имеется возможность сохранения результатов измерений в память прибора с датой и временем проведения анализа с последующей передачей их в компьютер (в формате </w:t>
      </w:r>
      <w:proofErr w:type="spellStart"/>
      <w:r w:rsidRPr="00AB4D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Microsoft</w:t>
      </w:r>
      <w:proofErr w:type="spellEnd"/>
      <w:r w:rsidRPr="00AB4D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  <w:proofErr w:type="spellStart"/>
      <w:r w:rsidRPr="00AB4D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Excel</w:t>
      </w:r>
      <w:proofErr w:type="spellEnd"/>
      <w:r w:rsidRPr="00AB4D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или </w:t>
      </w:r>
      <w:proofErr w:type="spellStart"/>
      <w:r w:rsidRPr="00AB4D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txt</w:t>
      </w:r>
      <w:proofErr w:type="spellEnd"/>
      <w:r w:rsidRPr="00AB4D42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5"/>
        <w:gridCol w:w="4528"/>
        <w:gridCol w:w="3113"/>
      </w:tblGrid>
      <w:tr w:rsidR="00AB4D42" w:rsidRPr="00AB4D42" w:rsidTr="00822021">
        <w:trPr>
          <w:trHeight w:val="516"/>
        </w:trPr>
        <w:tc>
          <w:tcPr>
            <w:tcW w:w="0" w:type="auto"/>
            <w:shd w:val="clear" w:color="auto" w:fill="FFFFFF"/>
            <w:vAlign w:val="center"/>
            <w:hideMark/>
          </w:tcPr>
          <w:p w:rsidR="00AB4D42" w:rsidRDefault="00AB4D42" w:rsidP="00AB4D42">
            <w:pPr>
              <w:spacing w:after="272" w:line="435" w:lineRule="atLeast"/>
              <w:rPr>
                <w:rFonts w:ascii="SegoeUI" w:eastAsia="Times New Roman" w:hAnsi="SegoeUI" w:cs="Times New Roman"/>
                <w:b/>
                <w:bCs/>
                <w:color w:val="FFFFFF"/>
                <w:lang w:eastAsia="ru-RU"/>
              </w:rPr>
            </w:pPr>
            <w:r>
              <w:rPr>
                <w:rFonts w:ascii="SegoeUI" w:eastAsia="Times New Roman" w:hAnsi="SegoeUI" w:cs="Times New Roman"/>
                <w:color w:val="0065B2"/>
                <w:sz w:val="33"/>
                <w:szCs w:val="33"/>
                <w:lang w:eastAsia="ru-RU"/>
              </w:rPr>
              <w:t xml:space="preserve">  </w:t>
            </w:r>
            <w:r w:rsidRPr="00AB4D42">
              <w:rPr>
                <w:rFonts w:ascii="SegoeUI" w:eastAsia="Times New Roman" w:hAnsi="SegoeUI" w:cs="Times New Roman"/>
                <w:color w:val="0065B2"/>
                <w:sz w:val="33"/>
                <w:szCs w:val="33"/>
                <w:lang w:eastAsia="ru-RU"/>
              </w:rPr>
              <w:t>Возможности</w:t>
            </w:r>
            <w:r>
              <w:rPr>
                <w:rFonts w:ascii="SegoeUI" w:eastAsia="Times New Roman" w:hAnsi="SegoeUI" w:cs="Times New Roman"/>
                <w:color w:val="0065B2"/>
                <w:sz w:val="33"/>
                <w:szCs w:val="33"/>
                <w:lang w:eastAsia="ru-RU"/>
              </w:rPr>
              <w:t xml:space="preserve">   прибора</w:t>
            </w:r>
          </w:p>
          <w:p w:rsidR="00AB4D42" w:rsidRPr="00AB4D42" w:rsidRDefault="00AB4D42" w:rsidP="00AB4D42">
            <w:pPr>
              <w:spacing w:after="272" w:line="435" w:lineRule="atLeast"/>
              <w:rPr>
                <w:rFonts w:ascii="SegoeUI" w:eastAsia="Times New Roman" w:hAnsi="SegoeUI" w:cs="Times New Roman"/>
                <w:b/>
                <w:bCs/>
                <w:color w:val="FFFFFF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b/>
                <w:bCs/>
                <w:color w:val="FFFFFF"/>
                <w:lang w:eastAsia="ru-RU"/>
              </w:rPr>
              <w:t>рам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D42" w:rsidRPr="00AB4D42" w:rsidRDefault="00AB4D42" w:rsidP="00AB4D42">
            <w:pPr>
              <w:spacing w:after="272" w:line="435" w:lineRule="atLeast"/>
              <w:jc w:val="center"/>
              <w:rPr>
                <w:rFonts w:ascii="SegoeUI" w:eastAsia="Times New Roman" w:hAnsi="SegoeUI" w:cs="Times New Roman"/>
                <w:b/>
                <w:bCs/>
                <w:color w:val="FFFFFF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b/>
                <w:bCs/>
                <w:color w:val="FFFFFF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B4D42" w:rsidRPr="00AB4D42" w:rsidRDefault="00AB4D42" w:rsidP="00AB4D42">
            <w:pPr>
              <w:spacing w:after="272" w:line="435" w:lineRule="atLeast"/>
              <w:jc w:val="center"/>
              <w:rPr>
                <w:rFonts w:ascii="SegoeUI" w:eastAsia="Times New Roman" w:hAnsi="SegoeUI" w:cs="Times New Roman"/>
                <w:b/>
                <w:bCs/>
                <w:color w:val="FFFFFF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b/>
                <w:bCs/>
                <w:color w:val="FFFFFF"/>
                <w:lang w:eastAsia="ru-RU"/>
              </w:rPr>
              <w:t>Соответствие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Определение октанового числа бензина.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Исследовательский (RON), моторный (MON) метод.</w:t>
            </w: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br/>
              <w:t>Антидетонационный коэффициент AKI.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ГОСТ 32339 (ISO 5164:2005), ГОСТ 32340 (ISO 5163:2005),</w:t>
            </w:r>
          </w:p>
          <w:p w:rsid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ГОСТ 8226-82 (ASTM D 2699-86), ГОСТ 511-82 (ASTM D 2700-86),</w:t>
            </w:r>
          </w:p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ГОСТ </w:t>
            </w:r>
            <w:proofErr w:type="gram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Р</w:t>
            </w:r>
            <w:proofErr w:type="gram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51105-97, ГОСТ Р 51866-2002 (ЕН 228-99).</w:t>
            </w:r>
          </w:p>
        </w:tc>
      </w:tr>
      <w:tr w:rsidR="00AB4D42" w:rsidRPr="00822021" w:rsidTr="00822021"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Определение </w:t>
            </w:r>
            <w:proofErr w:type="spell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цетанового</w:t>
            </w:r>
            <w:proofErr w:type="spell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числа дизельного топлива.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Одновременно с </w:t>
            </w:r>
            <w:proofErr w:type="spell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цетановым</w:t>
            </w:r>
            <w:proofErr w:type="spell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числом определяется тип и температура </w:t>
            </w:r>
            <w:proofErr w:type="gram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предельной</w:t>
            </w:r>
            <w:proofErr w:type="gram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</w:t>
            </w:r>
            <w:proofErr w:type="spell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фильтруемости</w:t>
            </w:r>
            <w:proofErr w:type="spell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 дизельного топлива.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ГОСТ </w:t>
            </w:r>
            <w:proofErr w:type="gram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Р</w:t>
            </w:r>
            <w:proofErr w:type="gram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52709-2007 (ASTM D 613-05), ГОСТ 305-82 (ASTM D 4737-03),</w:t>
            </w:r>
          </w:p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val="en-US" w:eastAsia="ru-RU"/>
              </w:rPr>
            </w:pPr>
            <w:r w:rsidRPr="00822021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</w:t>
            </w: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ГОСТ</w:t>
            </w:r>
            <w:r w:rsidRPr="00AB4D42">
              <w:rPr>
                <w:rFonts w:ascii="SegoeUI" w:eastAsia="Times New Roman" w:hAnsi="SegoeUI" w:cs="Times New Roman"/>
                <w:color w:val="5D5D5D"/>
                <w:lang w:val="en-US" w:eastAsia="ru-RU"/>
              </w:rPr>
              <w:t xml:space="preserve"> 3122-67 (ASTM D 613, EN ISO 5165).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Определение температуры предельной </w:t>
            </w:r>
            <w:proofErr w:type="spell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фильтруемости</w:t>
            </w:r>
            <w:proofErr w:type="spell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дизельного топлива.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Определяется в зависимости от </w:t>
            </w:r>
            <w:proofErr w:type="spell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цетанового</w:t>
            </w:r>
            <w:proofErr w:type="spell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числа дизельного топлива.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Факультативный параметр.</w:t>
            </w:r>
          </w:p>
        </w:tc>
      </w:tr>
      <w:tr w:rsidR="00AB4D42" w:rsidRPr="00AB4D42" w:rsidTr="00822021"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Определение  типа дизельного топлива.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Тип дизельного топлива (S-летнее, W-зимнее, A-арктическое) определяется в зависимости от температуры застывания.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Факультативный параметр.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Содержание керосина в дизельном топливе.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Количество керосина определяется в процентах. Предварительно выбирается тип дизельного топлива (S-летнее, W-зимнее, A-арктическое).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Факультативный параметр.</w:t>
            </w:r>
          </w:p>
        </w:tc>
      </w:tr>
      <w:tr w:rsidR="00AB4D42" w:rsidRPr="00AB4D42" w:rsidTr="00822021"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Индукционный период бензина (устойчивость к окислению).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Индукционный период измеряется в минутах. Предварительно выбирается марка бензина</w:t>
            </w:r>
            <w:proofErr w:type="gram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ГОСТ 4039-88 (ASTM D 525), ГОСТ </w:t>
            </w:r>
            <w:proofErr w:type="gram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Р</w:t>
            </w:r>
            <w:proofErr w:type="gram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52068-2003.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Определение чистоты </w:t>
            </w: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lastRenderedPageBreak/>
              <w:t>моторных масел.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lastRenderedPageBreak/>
              <w:t xml:space="preserve">Определение чистоты минеральных, </w:t>
            </w: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lastRenderedPageBreak/>
              <w:t>синтетических и индустриальных масел.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lastRenderedPageBreak/>
              <w:t> </w:t>
            </w:r>
          </w:p>
        </w:tc>
      </w:tr>
      <w:tr w:rsidR="00AB4D42" w:rsidRPr="00AB4D42" w:rsidTr="00822021"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lastRenderedPageBreak/>
              <w:t>Измерение диэлектрической проницаемости нефтепродуктов. 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Измерение диэлектрической проницаемости нефтепродуктов (</w:t>
            </w:r>
            <w:proofErr w:type="spell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Eps</w:t>
            </w:r>
            <w:proofErr w:type="spell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 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Содержание воды в дизельном топливе.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Количество воды определяется в процентах.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ГОСТ 14203-69. Диэлькометрический метод определения влажности.</w:t>
            </w:r>
          </w:p>
        </w:tc>
      </w:tr>
    </w:tbl>
    <w:p w:rsidR="00AB4D42" w:rsidRPr="00AB4D42" w:rsidRDefault="00AB4D42" w:rsidP="00AB4D42">
      <w:pPr>
        <w:shd w:val="clear" w:color="auto" w:fill="FFFFFF"/>
        <w:spacing w:after="136" w:line="240" w:lineRule="auto"/>
        <w:outlineLvl w:val="1"/>
        <w:rPr>
          <w:rFonts w:ascii="SegoeUI" w:eastAsia="Times New Roman" w:hAnsi="SegoeUI" w:cs="Times New Roman"/>
          <w:color w:val="0065B2"/>
          <w:sz w:val="33"/>
          <w:szCs w:val="33"/>
          <w:lang w:eastAsia="ru-RU"/>
        </w:rPr>
      </w:pPr>
    </w:p>
    <w:p w:rsidR="00AB4D42" w:rsidRPr="00AB4D42" w:rsidRDefault="00AB4D42" w:rsidP="00AB4D42">
      <w:pPr>
        <w:shd w:val="clear" w:color="auto" w:fill="FFFFFF"/>
        <w:spacing w:after="136" w:line="240" w:lineRule="auto"/>
        <w:outlineLvl w:val="1"/>
        <w:rPr>
          <w:rFonts w:ascii="SegoeUI" w:eastAsia="Times New Roman" w:hAnsi="SegoeUI" w:cs="Times New Roman"/>
          <w:color w:val="0065B2"/>
          <w:sz w:val="33"/>
          <w:szCs w:val="33"/>
          <w:lang w:eastAsia="ru-RU"/>
        </w:rPr>
      </w:pPr>
      <w:r w:rsidRPr="00AB4D42">
        <w:rPr>
          <w:rFonts w:ascii="SegoeUI" w:eastAsia="Times New Roman" w:hAnsi="SegoeUI" w:cs="Times New Roman"/>
          <w:color w:val="0065B2"/>
          <w:sz w:val="33"/>
          <w:szCs w:val="33"/>
          <w:lang w:eastAsia="ru-RU"/>
        </w:rPr>
        <w:t xml:space="preserve">Технические характеристики </w:t>
      </w:r>
      <w:proofErr w:type="spellStart"/>
      <w:r w:rsidRPr="00AB4D42">
        <w:rPr>
          <w:rFonts w:ascii="SegoeUI" w:eastAsia="Times New Roman" w:hAnsi="SegoeUI" w:cs="Times New Roman"/>
          <w:color w:val="0065B2"/>
          <w:sz w:val="33"/>
          <w:szCs w:val="33"/>
          <w:lang w:eastAsia="ru-RU"/>
        </w:rPr>
        <w:t>октанометра</w:t>
      </w:r>
      <w:proofErr w:type="spellEnd"/>
      <w:r w:rsidRPr="00AB4D42">
        <w:rPr>
          <w:rFonts w:ascii="SegoeUI" w:eastAsia="Times New Roman" w:hAnsi="SegoeUI" w:cs="Times New Roman"/>
          <w:color w:val="0065B2"/>
          <w:sz w:val="33"/>
          <w:szCs w:val="33"/>
          <w:lang w:eastAsia="ru-RU"/>
        </w:rPr>
        <w:t xml:space="preserve"> SX-250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8"/>
        <w:gridCol w:w="1720"/>
        <w:gridCol w:w="1508"/>
      </w:tblGrid>
      <w:tr w:rsidR="00AB4D42" w:rsidRPr="00AB4D42" w:rsidTr="00822021">
        <w:trPr>
          <w:trHeight w:val="516"/>
        </w:trPr>
        <w:tc>
          <w:tcPr>
            <w:tcW w:w="0" w:type="auto"/>
            <w:vAlign w:val="center"/>
            <w:hideMark/>
          </w:tcPr>
          <w:p w:rsidR="00AB4D42" w:rsidRPr="00AB4D42" w:rsidRDefault="00AB4D42" w:rsidP="00AB4D42">
            <w:pPr>
              <w:spacing w:after="272" w:line="4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B4D4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vAlign w:val="center"/>
            <w:hideMark/>
          </w:tcPr>
          <w:p w:rsidR="00AB4D42" w:rsidRPr="00AB4D42" w:rsidRDefault="00AB4D42" w:rsidP="00AB4D42">
            <w:pPr>
              <w:spacing w:after="272" w:line="4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B4D4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  Единицы измерения </w:t>
            </w:r>
          </w:p>
        </w:tc>
        <w:tc>
          <w:tcPr>
            <w:tcW w:w="0" w:type="auto"/>
            <w:vAlign w:val="center"/>
            <w:hideMark/>
          </w:tcPr>
          <w:p w:rsidR="00AB4D42" w:rsidRPr="00AB4D42" w:rsidRDefault="00AB4D42" w:rsidP="00AB4D42">
            <w:pPr>
              <w:spacing w:after="272" w:line="4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B4D4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Значение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Диапазон измеряемых октановых чисел бензинов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204" w:line="240" w:lineRule="auto"/>
              <w:jc w:val="both"/>
              <w:rPr>
                <w:rFonts w:ascii="SegoeUI" w:eastAsia="Times New Roman" w:hAnsi="SegoeUI" w:cs="Times New Roman"/>
                <w:color w:val="5D5D5D"/>
                <w:sz w:val="19"/>
                <w:szCs w:val="19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sz w:val="19"/>
                <w:szCs w:val="19"/>
                <w:lang w:eastAsia="ru-RU"/>
              </w:rPr>
              <w:t>ОЧ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40–135</w:t>
            </w:r>
          </w:p>
        </w:tc>
      </w:tr>
      <w:tr w:rsidR="00AB4D42" w:rsidRPr="00AB4D42" w:rsidTr="00822021"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Предел допускаемой основной погрешности измерения октановых чисел, не более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204" w:line="240" w:lineRule="auto"/>
              <w:jc w:val="both"/>
              <w:rPr>
                <w:rFonts w:ascii="SegoeUI" w:eastAsia="Times New Roman" w:hAnsi="SegoeUI" w:cs="Times New Roman"/>
                <w:color w:val="5D5D5D"/>
                <w:sz w:val="19"/>
                <w:szCs w:val="19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sz w:val="19"/>
                <w:szCs w:val="19"/>
                <w:lang w:eastAsia="ru-RU"/>
              </w:rPr>
              <w:t>ОЧ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± 0.5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Предел допускаемого значения расхождения между параллельными измерениями октановых чисел, не более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ОЧ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± 0.2</w:t>
            </w:r>
          </w:p>
        </w:tc>
      </w:tr>
      <w:tr w:rsidR="00AB4D42" w:rsidRPr="00AB4D42" w:rsidTr="00822021"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Диапазон измерения индукционного периода окисления бензина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Мин.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50-2400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Предел допускаемой основной погрешности индукционного периода окисления бензина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Мин.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10</w:t>
            </w:r>
          </w:p>
        </w:tc>
      </w:tr>
      <w:tr w:rsidR="00AB4D42" w:rsidRPr="00AB4D42" w:rsidTr="00822021"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Диапазон измерения </w:t>
            </w:r>
            <w:proofErr w:type="spell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цетановых</w:t>
            </w:r>
            <w:proofErr w:type="spell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чисел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ЦЧ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20–100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Предел допускаемой погрешности измерения </w:t>
            </w:r>
            <w:proofErr w:type="spell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цетановых</w:t>
            </w:r>
            <w:proofErr w:type="spell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чисел, не более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ЦЧ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±1.0</w:t>
            </w:r>
          </w:p>
        </w:tc>
      </w:tr>
      <w:tr w:rsidR="00AB4D42" w:rsidRPr="00AB4D42" w:rsidTr="00822021"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Предел допускаемого значения расхождения между параллельными измерениями </w:t>
            </w:r>
            <w:proofErr w:type="spell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цетановых</w:t>
            </w:r>
            <w:proofErr w:type="spell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 чисел, не более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ЦЧ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± 0.5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 xml:space="preserve">Предел допускаемой погрешности при определении температуры предельной </w:t>
            </w:r>
            <w:proofErr w:type="spell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фильтруемости</w:t>
            </w:r>
            <w:proofErr w:type="spellEnd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 дизельного топлива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C </w:t>
            </w:r>
            <w:proofErr w:type="spellStart"/>
            <w:r w:rsidRPr="00AB4D42">
              <w:rPr>
                <w:rFonts w:ascii="SegoeUI" w:eastAsia="Times New Roman" w:hAnsi="SegoeUI" w:cs="Times New Roman"/>
                <w:color w:val="5D5D5D"/>
                <w:sz w:val="16"/>
                <w:szCs w:val="16"/>
                <w:vertAlign w:val="superscript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± 5</w:t>
            </w:r>
          </w:p>
        </w:tc>
      </w:tr>
      <w:tr w:rsidR="00AB4D42" w:rsidRPr="00AB4D42" w:rsidTr="00822021"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Диапазон определения содержания керосина в дизельных топливах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0-95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Предел допускаемой основной погрешности при определении содержания керосина в дизельных топливах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3</w:t>
            </w:r>
          </w:p>
        </w:tc>
      </w:tr>
      <w:tr w:rsidR="00AB4D42" w:rsidRPr="00AB4D42" w:rsidTr="00822021"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Диапазон измерения степени чистоты моторных масел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95-100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lastRenderedPageBreak/>
              <w:t>Предел допускаемой основной погрешности при определении степени чистоты моторных масел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0.01</w:t>
            </w:r>
          </w:p>
        </w:tc>
      </w:tr>
      <w:tr w:rsidR="00AB4D42" w:rsidRPr="00AB4D42" w:rsidTr="00822021">
        <w:trPr>
          <w:trHeight w:val="587"/>
        </w:trPr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Диапазон измерения диэлектрической проницаемости нефтепродуктов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1-5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Диапазон определения содержания воды в дизельных топливах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0 - 4</w:t>
            </w:r>
          </w:p>
        </w:tc>
      </w:tr>
      <w:tr w:rsidR="00AB4D42" w:rsidRPr="00AB4D42" w:rsidTr="00822021"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Предел допускаемой основной погрешности при определении содержания воды в дизельных топливах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0.01</w:t>
            </w:r>
          </w:p>
        </w:tc>
      </w:tr>
      <w:tr w:rsidR="00AB4D42" w:rsidRPr="00AB4D42" w:rsidTr="00822021">
        <w:trPr>
          <w:trHeight w:val="652"/>
        </w:trPr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Время измерения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с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1–5</w:t>
            </w:r>
          </w:p>
        </w:tc>
      </w:tr>
      <w:tr w:rsidR="00AB4D42" w:rsidRPr="00AB4D42" w:rsidTr="00822021">
        <w:trPr>
          <w:trHeight w:val="495"/>
        </w:trPr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Порог срабатывания индикации недостаточного питания, при питании от батарей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5.4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Срок эксплуатации прибора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Не менее, лет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6</w:t>
            </w:r>
          </w:p>
        </w:tc>
      </w:tr>
      <w:tr w:rsidR="00AB4D42" w:rsidRPr="00AB4D42" w:rsidTr="00822021">
        <w:tc>
          <w:tcPr>
            <w:tcW w:w="0" w:type="auto"/>
            <w:gridSpan w:val="3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Габаритные размеры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     электронного блока: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мм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100х210х40</w:t>
            </w:r>
          </w:p>
        </w:tc>
      </w:tr>
      <w:tr w:rsidR="00AB4D42" w:rsidRPr="00AB4D42" w:rsidTr="00822021"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     датчика № 1, мм: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мм</w:t>
            </w:r>
          </w:p>
        </w:tc>
        <w:tc>
          <w:tcPr>
            <w:tcW w:w="0" w:type="auto"/>
            <w:shd w:val="clear" w:color="auto" w:fill="EBF8FD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60х100</w:t>
            </w:r>
          </w:p>
        </w:tc>
      </w:tr>
      <w:tr w:rsidR="00AB4D42" w:rsidRPr="00AB4D42" w:rsidTr="00822021"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     масса прибора с датчиком</w:t>
            </w:r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proofErr w:type="spellStart"/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гр</w:t>
            </w:r>
            <w:proofErr w:type="spellEnd"/>
          </w:p>
        </w:tc>
        <w:tc>
          <w:tcPr>
            <w:tcW w:w="0" w:type="auto"/>
            <w:shd w:val="clear" w:color="auto" w:fill="F4F5F6"/>
            <w:tcMar>
              <w:top w:w="204" w:type="dxa"/>
              <w:left w:w="204" w:type="dxa"/>
              <w:bottom w:w="204" w:type="dxa"/>
              <w:right w:w="204" w:type="dxa"/>
            </w:tcMar>
            <w:vAlign w:val="center"/>
            <w:hideMark/>
          </w:tcPr>
          <w:p w:rsidR="00AB4D42" w:rsidRPr="00AB4D42" w:rsidRDefault="00AB4D42" w:rsidP="00AB4D42">
            <w:pPr>
              <w:spacing w:after="0" w:line="240" w:lineRule="auto"/>
              <w:rPr>
                <w:rFonts w:ascii="SegoeUI" w:eastAsia="Times New Roman" w:hAnsi="SegoeUI" w:cs="Times New Roman"/>
                <w:color w:val="5D5D5D"/>
                <w:lang w:eastAsia="ru-RU"/>
              </w:rPr>
            </w:pPr>
            <w:r w:rsidRPr="00AB4D42">
              <w:rPr>
                <w:rFonts w:ascii="SegoeUI" w:eastAsia="Times New Roman" w:hAnsi="SegoeUI" w:cs="Times New Roman"/>
                <w:color w:val="5D5D5D"/>
                <w:lang w:eastAsia="ru-RU"/>
              </w:rPr>
              <w:t>680</w:t>
            </w:r>
          </w:p>
        </w:tc>
      </w:tr>
    </w:tbl>
    <w:p w:rsidR="00AB4D42" w:rsidRPr="00AB4D42" w:rsidRDefault="00AB4D42" w:rsidP="00AB4D42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SegoeUI" w:eastAsia="Times New Roman" w:hAnsi="SegoeUI" w:cs="Times New Roman"/>
          <w:b/>
          <w:bCs/>
          <w:color w:val="444444"/>
          <w:sz w:val="20"/>
          <w:szCs w:val="20"/>
          <w:lang w:eastAsia="ru-RU"/>
        </w:rPr>
      </w:pPr>
      <w:r w:rsidRPr="00AB4D42">
        <w:rPr>
          <w:rFonts w:ascii="SegoeUI" w:eastAsia="Times New Roman" w:hAnsi="SegoeUI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AB4D42" w:rsidRPr="00AB4D42" w:rsidRDefault="00AB4D42" w:rsidP="00AB4D42">
      <w:pPr>
        <w:shd w:val="clear" w:color="auto" w:fill="EAEEF1"/>
        <w:spacing w:after="136" w:line="240" w:lineRule="auto"/>
        <w:outlineLvl w:val="1"/>
        <w:rPr>
          <w:rFonts w:ascii="SegoeUI" w:eastAsia="Times New Roman" w:hAnsi="SegoeUI" w:cs="Times New Roman"/>
          <w:color w:val="0065B2"/>
          <w:sz w:val="33"/>
          <w:szCs w:val="33"/>
          <w:lang w:eastAsia="ru-RU"/>
        </w:rPr>
      </w:pPr>
      <w:r w:rsidRPr="00AB4D42">
        <w:rPr>
          <w:rFonts w:ascii="SegoeUI" w:eastAsia="Times New Roman" w:hAnsi="SegoeUI" w:cs="Times New Roman"/>
          <w:color w:val="0065B2"/>
          <w:sz w:val="33"/>
          <w:szCs w:val="33"/>
          <w:lang w:eastAsia="ru-RU"/>
        </w:rPr>
        <w:t>Комплект поставки:</w:t>
      </w:r>
    </w:p>
    <w:p w:rsidR="00AB4D42" w:rsidRPr="00AB4D42" w:rsidRDefault="00AB4D42" w:rsidP="00AB4D42">
      <w:pPr>
        <w:numPr>
          <w:ilvl w:val="0"/>
          <w:numId w:val="1"/>
        </w:numPr>
        <w:shd w:val="clear" w:color="auto" w:fill="EAEEF1"/>
        <w:spacing w:after="204" w:line="272" w:lineRule="atLeast"/>
        <w:ind w:left="422"/>
        <w:jc w:val="both"/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</w:pPr>
      <w:r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>электронный вычислительный блок;</w:t>
      </w:r>
    </w:p>
    <w:p w:rsidR="00AB4D42" w:rsidRPr="00AB4D42" w:rsidRDefault="00AB4D42" w:rsidP="00AB4D42">
      <w:pPr>
        <w:numPr>
          <w:ilvl w:val="0"/>
          <w:numId w:val="1"/>
        </w:numPr>
        <w:shd w:val="clear" w:color="auto" w:fill="EAEEF1"/>
        <w:spacing w:after="204" w:line="272" w:lineRule="atLeast"/>
        <w:ind w:left="422"/>
        <w:jc w:val="both"/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</w:pPr>
      <w:r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>датчик № 1;</w:t>
      </w:r>
    </w:p>
    <w:p w:rsidR="00AB4D42" w:rsidRPr="00AB4D42" w:rsidRDefault="00AB4D42" w:rsidP="00AB4D42">
      <w:pPr>
        <w:numPr>
          <w:ilvl w:val="0"/>
          <w:numId w:val="1"/>
        </w:numPr>
        <w:shd w:val="clear" w:color="auto" w:fill="EAEEF1"/>
        <w:spacing w:after="204" w:line="272" w:lineRule="atLeast"/>
        <w:ind w:left="422"/>
        <w:jc w:val="both"/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</w:pPr>
      <w:r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>имитатор пробы;</w:t>
      </w:r>
    </w:p>
    <w:p w:rsidR="00AB4D42" w:rsidRPr="00AB4D42" w:rsidRDefault="00AB4D42" w:rsidP="00AB4D42">
      <w:pPr>
        <w:numPr>
          <w:ilvl w:val="0"/>
          <w:numId w:val="1"/>
        </w:numPr>
        <w:shd w:val="clear" w:color="auto" w:fill="EAEEF1"/>
        <w:spacing w:after="204" w:line="272" w:lineRule="atLeast"/>
        <w:ind w:left="422"/>
        <w:jc w:val="both"/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</w:pPr>
      <w:r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>паспорт на прибор;</w:t>
      </w:r>
    </w:p>
    <w:p w:rsidR="00AB4D42" w:rsidRPr="00AB4D42" w:rsidRDefault="00657516" w:rsidP="00AB4D42">
      <w:pPr>
        <w:numPr>
          <w:ilvl w:val="0"/>
          <w:numId w:val="1"/>
        </w:numPr>
        <w:shd w:val="clear" w:color="auto" w:fill="EAEEF1"/>
        <w:spacing w:after="0" w:line="272" w:lineRule="atLeast"/>
        <w:ind w:left="422"/>
        <w:jc w:val="both"/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</w:pPr>
      <w:hyperlink r:id="rId5" w:history="1">
        <w:r w:rsidR="00AB4D42" w:rsidRPr="00AB4D42">
          <w:rPr>
            <w:rFonts w:ascii="SegoeUI" w:eastAsia="Times New Roman" w:hAnsi="SegoeUI" w:cs="Times New Roman"/>
            <w:color w:val="039CD5"/>
            <w:sz w:val="19"/>
            <w:u w:val="single"/>
            <w:lang w:eastAsia="ru-RU"/>
          </w:rPr>
          <w:t>программное обеспечение</w:t>
        </w:r>
      </w:hyperlink>
      <w:r w:rsidR="00AB4D42"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 xml:space="preserve"> для персонального компьютера совместимое со всеми версиями </w:t>
      </w:r>
      <w:proofErr w:type="spellStart"/>
      <w:r w:rsidR="00AB4D42"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>Windows</w:t>
      </w:r>
      <w:proofErr w:type="spellEnd"/>
      <w:r w:rsidR="00AB4D42"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>;</w:t>
      </w:r>
    </w:p>
    <w:p w:rsidR="00AB4D42" w:rsidRPr="00AB4D42" w:rsidRDefault="00AB4D42" w:rsidP="00AB4D42">
      <w:pPr>
        <w:numPr>
          <w:ilvl w:val="0"/>
          <w:numId w:val="1"/>
        </w:numPr>
        <w:shd w:val="clear" w:color="auto" w:fill="EAEEF1"/>
        <w:spacing w:after="204" w:line="272" w:lineRule="atLeast"/>
        <w:ind w:left="422"/>
        <w:jc w:val="both"/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</w:pPr>
      <w:proofErr w:type="spellStart"/>
      <w:r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>mini</w:t>
      </w:r>
      <w:proofErr w:type="spellEnd"/>
      <w:r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 xml:space="preserve"> USB кабель для подключения к компьютеру;</w:t>
      </w:r>
    </w:p>
    <w:p w:rsidR="00AB4D42" w:rsidRPr="00AB4D42" w:rsidRDefault="00657516" w:rsidP="00AB4D42">
      <w:pPr>
        <w:numPr>
          <w:ilvl w:val="0"/>
          <w:numId w:val="1"/>
        </w:numPr>
        <w:shd w:val="clear" w:color="auto" w:fill="EAEEF1"/>
        <w:spacing w:after="0" w:line="272" w:lineRule="atLeast"/>
        <w:ind w:left="422"/>
        <w:jc w:val="both"/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</w:pPr>
      <w:hyperlink r:id="rId6" w:history="1">
        <w:r w:rsidR="00AB4D42" w:rsidRPr="00AB4D42">
          <w:rPr>
            <w:rFonts w:ascii="SegoeUI" w:eastAsia="Times New Roman" w:hAnsi="SegoeUI" w:cs="Times New Roman"/>
            <w:color w:val="039CD5"/>
            <w:sz w:val="19"/>
            <w:u w:val="single"/>
            <w:lang w:eastAsia="ru-RU"/>
          </w:rPr>
          <w:t>руководство пользователя</w:t>
        </w:r>
      </w:hyperlink>
      <w:r w:rsidR="00AB4D42"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>;</w:t>
      </w:r>
    </w:p>
    <w:p w:rsidR="00AB4D42" w:rsidRPr="00AB4D42" w:rsidRDefault="00AB4D42" w:rsidP="00AB4D42">
      <w:pPr>
        <w:numPr>
          <w:ilvl w:val="0"/>
          <w:numId w:val="1"/>
        </w:numPr>
        <w:shd w:val="clear" w:color="auto" w:fill="EAEEF1"/>
        <w:spacing w:after="204" w:line="272" w:lineRule="atLeast"/>
        <w:ind w:left="422"/>
        <w:jc w:val="both"/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</w:pPr>
      <w:r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 xml:space="preserve">копия сертификата о внесении в </w:t>
      </w:r>
      <w:proofErr w:type="spellStart"/>
      <w:r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>госреестр</w:t>
      </w:r>
      <w:proofErr w:type="spellEnd"/>
      <w:r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>;</w:t>
      </w:r>
    </w:p>
    <w:p w:rsidR="00AB4D42" w:rsidRPr="00AB4D42" w:rsidRDefault="00AB4D42" w:rsidP="00AB4D42">
      <w:pPr>
        <w:numPr>
          <w:ilvl w:val="0"/>
          <w:numId w:val="1"/>
        </w:numPr>
        <w:shd w:val="clear" w:color="auto" w:fill="EAEEF1"/>
        <w:spacing w:after="204" w:line="272" w:lineRule="atLeast"/>
        <w:ind w:left="422"/>
        <w:jc w:val="both"/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</w:pPr>
      <w:r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>гарантийный талон;</w:t>
      </w:r>
    </w:p>
    <w:p w:rsidR="00AB4D42" w:rsidRPr="00AB4D42" w:rsidRDefault="00AB4D42" w:rsidP="00AB4D42">
      <w:pPr>
        <w:numPr>
          <w:ilvl w:val="0"/>
          <w:numId w:val="1"/>
        </w:numPr>
        <w:shd w:val="clear" w:color="auto" w:fill="EAEEF1"/>
        <w:spacing w:after="204" w:line="272" w:lineRule="atLeast"/>
        <w:ind w:left="422"/>
        <w:jc w:val="both"/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</w:pPr>
      <w:r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>батареи типа АА;</w:t>
      </w:r>
    </w:p>
    <w:p w:rsidR="00AB4D42" w:rsidRPr="00AB4D42" w:rsidRDefault="00AB4D42" w:rsidP="00AB4D42">
      <w:pPr>
        <w:numPr>
          <w:ilvl w:val="0"/>
          <w:numId w:val="1"/>
        </w:numPr>
        <w:shd w:val="clear" w:color="auto" w:fill="EAEEF1"/>
        <w:spacing w:after="204" w:line="272" w:lineRule="atLeast"/>
        <w:ind w:left="422"/>
        <w:jc w:val="both"/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</w:pPr>
      <w:r w:rsidRPr="00AB4D42">
        <w:rPr>
          <w:rFonts w:ascii="SegoeUI" w:eastAsia="Times New Roman" w:hAnsi="SegoeUI" w:cs="Times New Roman"/>
          <w:color w:val="444444"/>
          <w:sz w:val="19"/>
          <w:szCs w:val="19"/>
          <w:lang w:eastAsia="ru-RU"/>
        </w:rPr>
        <w:t>сумка для хранения и транспортировки.</w:t>
      </w:r>
    </w:p>
    <w:p w:rsidR="000E1425" w:rsidRDefault="008A0E83" w:rsidP="00AB4D42">
      <w:pPr>
        <w:ind w:left="-709" w:firstLine="425"/>
      </w:pPr>
    </w:p>
    <w:sectPr w:rsidR="000E1425" w:rsidSect="00822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23A0"/>
    <w:multiLevelType w:val="multilevel"/>
    <w:tmpl w:val="03D4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D42"/>
    <w:rsid w:val="000031A3"/>
    <w:rsid w:val="00004398"/>
    <w:rsid w:val="000052AE"/>
    <w:rsid w:val="000058EA"/>
    <w:rsid w:val="00007CD1"/>
    <w:rsid w:val="00014157"/>
    <w:rsid w:val="00027D50"/>
    <w:rsid w:val="00032770"/>
    <w:rsid w:val="00046714"/>
    <w:rsid w:val="0005150E"/>
    <w:rsid w:val="0005356B"/>
    <w:rsid w:val="00054E00"/>
    <w:rsid w:val="00055B4F"/>
    <w:rsid w:val="00057DA5"/>
    <w:rsid w:val="00063574"/>
    <w:rsid w:val="0006522E"/>
    <w:rsid w:val="00082BC2"/>
    <w:rsid w:val="00082D9C"/>
    <w:rsid w:val="0009776E"/>
    <w:rsid w:val="000A7450"/>
    <w:rsid w:val="000B096A"/>
    <w:rsid w:val="000B2F2F"/>
    <w:rsid w:val="000C18F0"/>
    <w:rsid w:val="000E3931"/>
    <w:rsid w:val="000E60C4"/>
    <w:rsid w:val="000E7215"/>
    <w:rsid w:val="000F55D0"/>
    <w:rsid w:val="00100388"/>
    <w:rsid w:val="00102D14"/>
    <w:rsid w:val="0010339A"/>
    <w:rsid w:val="00124E79"/>
    <w:rsid w:val="00125813"/>
    <w:rsid w:val="001322CE"/>
    <w:rsid w:val="0013409E"/>
    <w:rsid w:val="00136A7E"/>
    <w:rsid w:val="00181138"/>
    <w:rsid w:val="00192D4F"/>
    <w:rsid w:val="00194042"/>
    <w:rsid w:val="001A3374"/>
    <w:rsid w:val="001B4EF1"/>
    <w:rsid w:val="001C7D07"/>
    <w:rsid w:val="001D7772"/>
    <w:rsid w:val="001E0E81"/>
    <w:rsid w:val="001F7511"/>
    <w:rsid w:val="00202D02"/>
    <w:rsid w:val="00211281"/>
    <w:rsid w:val="00221DBA"/>
    <w:rsid w:val="00231AAD"/>
    <w:rsid w:val="00237B70"/>
    <w:rsid w:val="002407B3"/>
    <w:rsid w:val="00260EE2"/>
    <w:rsid w:val="00272ABA"/>
    <w:rsid w:val="002776A3"/>
    <w:rsid w:val="002865FD"/>
    <w:rsid w:val="00294B80"/>
    <w:rsid w:val="00295612"/>
    <w:rsid w:val="00296B71"/>
    <w:rsid w:val="002A669D"/>
    <w:rsid w:val="002A7D13"/>
    <w:rsid w:val="002D3C5E"/>
    <w:rsid w:val="002D7ECB"/>
    <w:rsid w:val="002F0C6B"/>
    <w:rsid w:val="002F4423"/>
    <w:rsid w:val="00300C3D"/>
    <w:rsid w:val="00312F59"/>
    <w:rsid w:val="00331175"/>
    <w:rsid w:val="00336F97"/>
    <w:rsid w:val="00337670"/>
    <w:rsid w:val="003553A2"/>
    <w:rsid w:val="0038196A"/>
    <w:rsid w:val="00395B36"/>
    <w:rsid w:val="003B05B9"/>
    <w:rsid w:val="003B6C89"/>
    <w:rsid w:val="003B75B9"/>
    <w:rsid w:val="003C2BCC"/>
    <w:rsid w:val="003C5787"/>
    <w:rsid w:val="003D31E7"/>
    <w:rsid w:val="003D73C8"/>
    <w:rsid w:val="003E2E53"/>
    <w:rsid w:val="00405766"/>
    <w:rsid w:val="004072CC"/>
    <w:rsid w:val="00415B84"/>
    <w:rsid w:val="00431392"/>
    <w:rsid w:val="00450A93"/>
    <w:rsid w:val="00455EE7"/>
    <w:rsid w:val="004621CA"/>
    <w:rsid w:val="00471C07"/>
    <w:rsid w:val="00472819"/>
    <w:rsid w:val="00472E1E"/>
    <w:rsid w:val="00472F73"/>
    <w:rsid w:val="004779FC"/>
    <w:rsid w:val="004847C3"/>
    <w:rsid w:val="004918E2"/>
    <w:rsid w:val="00492C9D"/>
    <w:rsid w:val="004A3D56"/>
    <w:rsid w:val="004B6D70"/>
    <w:rsid w:val="004C1AF4"/>
    <w:rsid w:val="004E1668"/>
    <w:rsid w:val="004F1527"/>
    <w:rsid w:val="004F43B4"/>
    <w:rsid w:val="004F7C2E"/>
    <w:rsid w:val="005012BC"/>
    <w:rsid w:val="00533437"/>
    <w:rsid w:val="00550117"/>
    <w:rsid w:val="00554459"/>
    <w:rsid w:val="00555EB5"/>
    <w:rsid w:val="00560DC6"/>
    <w:rsid w:val="005615CA"/>
    <w:rsid w:val="00572686"/>
    <w:rsid w:val="00573DFE"/>
    <w:rsid w:val="00573F56"/>
    <w:rsid w:val="00585C72"/>
    <w:rsid w:val="00590ADD"/>
    <w:rsid w:val="005A4B63"/>
    <w:rsid w:val="005A5F1A"/>
    <w:rsid w:val="005A75F5"/>
    <w:rsid w:val="005B294A"/>
    <w:rsid w:val="005D047E"/>
    <w:rsid w:val="005D132E"/>
    <w:rsid w:val="005E0271"/>
    <w:rsid w:val="005E27C8"/>
    <w:rsid w:val="005F5FDD"/>
    <w:rsid w:val="005F7F2F"/>
    <w:rsid w:val="00611301"/>
    <w:rsid w:val="0061400B"/>
    <w:rsid w:val="0063043C"/>
    <w:rsid w:val="006356F6"/>
    <w:rsid w:val="006527E5"/>
    <w:rsid w:val="00657516"/>
    <w:rsid w:val="00661B4A"/>
    <w:rsid w:val="00661ECB"/>
    <w:rsid w:val="00664069"/>
    <w:rsid w:val="00671CEA"/>
    <w:rsid w:val="00684F93"/>
    <w:rsid w:val="00685D7E"/>
    <w:rsid w:val="0069429D"/>
    <w:rsid w:val="006A1634"/>
    <w:rsid w:val="006A6F8F"/>
    <w:rsid w:val="006C0949"/>
    <w:rsid w:val="006C3CA6"/>
    <w:rsid w:val="006C7DBF"/>
    <w:rsid w:val="006D2720"/>
    <w:rsid w:val="006D40A1"/>
    <w:rsid w:val="006E7483"/>
    <w:rsid w:val="006F744F"/>
    <w:rsid w:val="006F7B47"/>
    <w:rsid w:val="007078ED"/>
    <w:rsid w:val="0071059C"/>
    <w:rsid w:val="00711BAA"/>
    <w:rsid w:val="007163D9"/>
    <w:rsid w:val="0072518B"/>
    <w:rsid w:val="007432A1"/>
    <w:rsid w:val="00746149"/>
    <w:rsid w:val="007761AB"/>
    <w:rsid w:val="00782C96"/>
    <w:rsid w:val="0079038E"/>
    <w:rsid w:val="00793F85"/>
    <w:rsid w:val="007C18D7"/>
    <w:rsid w:val="007D10EA"/>
    <w:rsid w:val="007D5718"/>
    <w:rsid w:val="007F1042"/>
    <w:rsid w:val="0080282B"/>
    <w:rsid w:val="00803037"/>
    <w:rsid w:val="008075B5"/>
    <w:rsid w:val="00813F6D"/>
    <w:rsid w:val="0081642A"/>
    <w:rsid w:val="00822001"/>
    <w:rsid w:val="00822021"/>
    <w:rsid w:val="00822B7D"/>
    <w:rsid w:val="008318C6"/>
    <w:rsid w:val="0083350F"/>
    <w:rsid w:val="00835B05"/>
    <w:rsid w:val="0083731C"/>
    <w:rsid w:val="008422A2"/>
    <w:rsid w:val="00843BB8"/>
    <w:rsid w:val="0084747E"/>
    <w:rsid w:val="00876F33"/>
    <w:rsid w:val="008849F6"/>
    <w:rsid w:val="00896816"/>
    <w:rsid w:val="008A0E83"/>
    <w:rsid w:val="008A2A38"/>
    <w:rsid w:val="008A3E5D"/>
    <w:rsid w:val="008B660A"/>
    <w:rsid w:val="008C79A3"/>
    <w:rsid w:val="008E53DB"/>
    <w:rsid w:val="008F156B"/>
    <w:rsid w:val="008F3944"/>
    <w:rsid w:val="008F7E2C"/>
    <w:rsid w:val="00904F5B"/>
    <w:rsid w:val="00906C87"/>
    <w:rsid w:val="00914B16"/>
    <w:rsid w:val="0092261A"/>
    <w:rsid w:val="009261BF"/>
    <w:rsid w:val="00933249"/>
    <w:rsid w:val="00934095"/>
    <w:rsid w:val="00961142"/>
    <w:rsid w:val="0096702C"/>
    <w:rsid w:val="00974187"/>
    <w:rsid w:val="00990FC2"/>
    <w:rsid w:val="00997C88"/>
    <w:rsid w:val="009B67F6"/>
    <w:rsid w:val="009C4CF8"/>
    <w:rsid w:val="009C53D3"/>
    <w:rsid w:val="009D0910"/>
    <w:rsid w:val="009E0B25"/>
    <w:rsid w:val="009E2AEF"/>
    <w:rsid w:val="009F52A0"/>
    <w:rsid w:val="009F6258"/>
    <w:rsid w:val="00A01AB9"/>
    <w:rsid w:val="00A01EC4"/>
    <w:rsid w:val="00A232BF"/>
    <w:rsid w:val="00A2674B"/>
    <w:rsid w:val="00A60B26"/>
    <w:rsid w:val="00A74379"/>
    <w:rsid w:val="00A76794"/>
    <w:rsid w:val="00A77748"/>
    <w:rsid w:val="00A847D8"/>
    <w:rsid w:val="00AA0899"/>
    <w:rsid w:val="00AB4D42"/>
    <w:rsid w:val="00AD00C6"/>
    <w:rsid w:val="00AE07FC"/>
    <w:rsid w:val="00AE1964"/>
    <w:rsid w:val="00AF1F9C"/>
    <w:rsid w:val="00B05FD5"/>
    <w:rsid w:val="00B064F5"/>
    <w:rsid w:val="00B07689"/>
    <w:rsid w:val="00B202B1"/>
    <w:rsid w:val="00B239BA"/>
    <w:rsid w:val="00B33D59"/>
    <w:rsid w:val="00B34DFA"/>
    <w:rsid w:val="00B3769C"/>
    <w:rsid w:val="00B47727"/>
    <w:rsid w:val="00B56E61"/>
    <w:rsid w:val="00B57641"/>
    <w:rsid w:val="00B707D0"/>
    <w:rsid w:val="00B71B38"/>
    <w:rsid w:val="00B73D5C"/>
    <w:rsid w:val="00B740A2"/>
    <w:rsid w:val="00B774E7"/>
    <w:rsid w:val="00B83F27"/>
    <w:rsid w:val="00B86B53"/>
    <w:rsid w:val="00B91178"/>
    <w:rsid w:val="00BA36D9"/>
    <w:rsid w:val="00BA3C51"/>
    <w:rsid w:val="00BA7D89"/>
    <w:rsid w:val="00BB1691"/>
    <w:rsid w:val="00BB29BE"/>
    <w:rsid w:val="00BC2852"/>
    <w:rsid w:val="00BC478B"/>
    <w:rsid w:val="00BE5390"/>
    <w:rsid w:val="00BF6E01"/>
    <w:rsid w:val="00C00A46"/>
    <w:rsid w:val="00C00E1E"/>
    <w:rsid w:val="00C10E37"/>
    <w:rsid w:val="00C158D1"/>
    <w:rsid w:val="00C2614F"/>
    <w:rsid w:val="00C333C6"/>
    <w:rsid w:val="00C352FD"/>
    <w:rsid w:val="00C86439"/>
    <w:rsid w:val="00CC222E"/>
    <w:rsid w:val="00CD5E97"/>
    <w:rsid w:val="00CE2B79"/>
    <w:rsid w:val="00CE452B"/>
    <w:rsid w:val="00CE45E3"/>
    <w:rsid w:val="00CE4FD1"/>
    <w:rsid w:val="00CE553E"/>
    <w:rsid w:val="00CE5A6D"/>
    <w:rsid w:val="00CF1BDB"/>
    <w:rsid w:val="00D13B78"/>
    <w:rsid w:val="00D224DD"/>
    <w:rsid w:val="00D259F1"/>
    <w:rsid w:val="00D312F7"/>
    <w:rsid w:val="00D36095"/>
    <w:rsid w:val="00D379E6"/>
    <w:rsid w:val="00D407F4"/>
    <w:rsid w:val="00D42F62"/>
    <w:rsid w:val="00D44D28"/>
    <w:rsid w:val="00D44E66"/>
    <w:rsid w:val="00D45A90"/>
    <w:rsid w:val="00D62A53"/>
    <w:rsid w:val="00D72B9C"/>
    <w:rsid w:val="00D73418"/>
    <w:rsid w:val="00D7486D"/>
    <w:rsid w:val="00D839AC"/>
    <w:rsid w:val="00D85D0E"/>
    <w:rsid w:val="00D937EA"/>
    <w:rsid w:val="00DA1B14"/>
    <w:rsid w:val="00DB3AD9"/>
    <w:rsid w:val="00DB766F"/>
    <w:rsid w:val="00DD4050"/>
    <w:rsid w:val="00DE5FC8"/>
    <w:rsid w:val="00DE6BE2"/>
    <w:rsid w:val="00E1071D"/>
    <w:rsid w:val="00E1203A"/>
    <w:rsid w:val="00E2758D"/>
    <w:rsid w:val="00E42CE0"/>
    <w:rsid w:val="00E44DA3"/>
    <w:rsid w:val="00E469AD"/>
    <w:rsid w:val="00E474BA"/>
    <w:rsid w:val="00E53FE5"/>
    <w:rsid w:val="00E578A1"/>
    <w:rsid w:val="00E70E9E"/>
    <w:rsid w:val="00E915AB"/>
    <w:rsid w:val="00EA6302"/>
    <w:rsid w:val="00EB0EE6"/>
    <w:rsid w:val="00EC6918"/>
    <w:rsid w:val="00EE1543"/>
    <w:rsid w:val="00EF1A2D"/>
    <w:rsid w:val="00F01FFF"/>
    <w:rsid w:val="00F164D7"/>
    <w:rsid w:val="00F20B4F"/>
    <w:rsid w:val="00F26A57"/>
    <w:rsid w:val="00F27456"/>
    <w:rsid w:val="00F41389"/>
    <w:rsid w:val="00F45646"/>
    <w:rsid w:val="00F46E96"/>
    <w:rsid w:val="00F54C0B"/>
    <w:rsid w:val="00F55BAC"/>
    <w:rsid w:val="00F64865"/>
    <w:rsid w:val="00F670DE"/>
    <w:rsid w:val="00F8504C"/>
    <w:rsid w:val="00F914FB"/>
    <w:rsid w:val="00FA1152"/>
    <w:rsid w:val="00FA4963"/>
    <w:rsid w:val="00FA60F8"/>
    <w:rsid w:val="00FB1056"/>
    <w:rsid w:val="00FF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paragraph" w:styleId="2">
    <w:name w:val="heading 2"/>
    <w:basedOn w:val="a"/>
    <w:link w:val="20"/>
    <w:uiPriority w:val="9"/>
    <w:qFormat/>
    <w:rsid w:val="00AB4D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AB4D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D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B4D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D42"/>
    <w:rPr>
      <w:b/>
      <w:bCs/>
    </w:rPr>
  </w:style>
  <w:style w:type="character" w:customStyle="1" w:styleId="text">
    <w:name w:val="text"/>
    <w:basedOn w:val="a0"/>
    <w:rsid w:val="00AB4D42"/>
  </w:style>
  <w:style w:type="character" w:styleId="a5">
    <w:name w:val="Hyperlink"/>
    <w:basedOn w:val="a0"/>
    <w:uiPriority w:val="99"/>
    <w:semiHidden/>
    <w:unhideWhenUsed/>
    <w:rsid w:val="00AB4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93053">
          <w:marLeft w:val="0"/>
          <w:marRight w:val="0"/>
          <w:marTop w:val="0"/>
          <w:marBottom w:val="0"/>
          <w:divBdr>
            <w:top w:val="single" w:sz="18" w:space="0" w:color="EAEEF1"/>
            <w:left w:val="none" w:sz="0" w:space="0" w:color="auto"/>
            <w:bottom w:val="single" w:sz="18" w:space="0" w:color="EAEEF1"/>
            <w:right w:val="none" w:sz="0" w:space="0" w:color="auto"/>
          </w:divBdr>
          <w:divsChild>
            <w:div w:id="302662624">
              <w:marLeft w:val="0"/>
              <w:marRight w:val="0"/>
              <w:marTop w:val="0"/>
              <w:marBottom w:val="0"/>
              <w:divBdr>
                <w:top w:val="single" w:sz="12" w:space="17" w:color="FFFFFF"/>
                <w:left w:val="none" w:sz="0" w:space="0" w:color="auto"/>
                <w:bottom w:val="single" w:sz="12" w:space="17" w:color="FFFFFF"/>
                <w:right w:val="none" w:sz="0" w:space="0" w:color="auto"/>
              </w:divBdr>
              <w:divsChild>
                <w:div w:id="18261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tox.ru/upload/files/Oktanometr%20SHATOX%20SX-150.doc" TargetMode="External"/><Relationship Id="rId5" Type="http://schemas.openxmlformats.org/officeDocument/2006/relationships/hyperlink" Target="http://shatox.ru/upload/files/SHATOX-SX-300-150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2018-05-15T11:23:00Z</dcterms:created>
  <dcterms:modified xsi:type="dcterms:W3CDTF">2018-05-15T11:23:00Z</dcterms:modified>
</cp:coreProperties>
</file>