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C41B8" w:rsidRPr="003C41B8" w:rsidTr="003C41B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87"/>
            </w:tblGrid>
            <w:tr w:rsidR="003C41B8" w:rsidRPr="003C41B8">
              <w:trPr>
                <w:tblCellSpacing w:w="0" w:type="dxa"/>
              </w:trPr>
              <w:tc>
                <w:tcPr>
                  <w:tcW w:w="4750" w:type="pct"/>
                  <w:hideMark/>
                </w:tcPr>
                <w:p w:rsidR="003C41B8" w:rsidRPr="003C41B8" w:rsidRDefault="003C41B8" w:rsidP="003C41B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3C41B8">
                    <w:rPr>
                      <w:rFonts w:ascii="Tahoma" w:eastAsia="Times New Roman" w:hAnsi="Tahoma" w:cs="Tahoma"/>
                      <w:b/>
                      <w:bCs/>
                      <w:color w:val="767676"/>
                      <w:sz w:val="20"/>
                      <w:szCs w:val="20"/>
                      <w:lang w:eastAsia="ru-RU"/>
                    </w:rPr>
                    <w:t>Котельное и печное топливо</w:t>
                  </w:r>
                </w:p>
                <w:p w:rsidR="003C41B8" w:rsidRPr="003C41B8" w:rsidRDefault="003C41B8" w:rsidP="003C41B8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Котельные топлива применяют в стационарных паровых котлах, в промышленных печах. Тяжелые моторные топлива используют в судовых энергетических установках. К котельным топливам относят топочные мазуты марок 40 и 100, вырабатываемые по ГОСТ 10585-99, к тяжелым моторным топливам - флотские мазуты Ф-5 и Ф-12 по ГОСТ 10585-99.В общем балансе перечисленных топлив основное место занимают мазуты нефтяного происхождения.</w:t>
                  </w:r>
                </w:p>
                <w:p w:rsidR="003C41B8" w:rsidRPr="003C41B8" w:rsidRDefault="003C41B8" w:rsidP="003C41B8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Печное бытовое топливо предназначено для сжигания в отопительных установках небольшой мощности, расположенных непосредственно в жилых помещениях, а также в </w:t>
                  </w:r>
                  <w:proofErr w:type="spellStart"/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теплогенераторах</w:t>
                  </w:r>
                  <w:proofErr w:type="spellEnd"/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средней мощности, используемых в сельском хозяйстве для приготовления кормов, сушки зерна, фруктов, консервирования и других целей.</w:t>
                  </w:r>
                </w:p>
                <w:p w:rsidR="003C41B8" w:rsidRPr="003C41B8" w:rsidRDefault="003C41B8" w:rsidP="003C41B8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Требования, предъявляемые к качеству котельных, тяжелых моторных и судовых топлив, устанавливающие условия их применения, определяются такими показателями качества, как вязкость, содержание серы, теплота сгорания, температуры застывания и вспышки, содержание воды, механических примесей и зольность.</w:t>
                  </w:r>
                </w:p>
                <w:p w:rsidR="003C41B8" w:rsidRPr="003C41B8" w:rsidRDefault="003C41B8" w:rsidP="003C41B8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3C41B8">
                    <w:rPr>
                      <w:rFonts w:ascii="Tahoma" w:eastAsia="Times New Roman" w:hAnsi="Tahoma" w:cs="Tahoma"/>
                      <w:b/>
                      <w:bCs/>
                      <w:color w:val="767676"/>
                      <w:lang w:eastAsia="ru-RU"/>
                    </w:rPr>
                    <w:t>Ассортимент, качество и состав</w:t>
                  </w:r>
                </w:p>
                <w:p w:rsidR="003C41B8" w:rsidRPr="003C41B8" w:rsidRDefault="003C41B8" w:rsidP="003C41B8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Стандарт на котельное топливо - ГОСТ 10585-99 предусматривает выпуск четырех его марок: флотских мазутов Ф-5 и Ф-12, которые по вязкости классифицируются как легкие топлива, топочных мазутов марки 40 - как среднее и марки 100 - тяжелое топливо. Цифры указывают ориентировочную вязкость соответствующих марок мазутов при 50 °С.</w:t>
                  </w:r>
                </w:p>
                <w:p w:rsidR="003C41B8" w:rsidRPr="003C41B8" w:rsidRDefault="003C41B8" w:rsidP="003C41B8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Топочные мазуты марок 40 и 100 изготовляют из остатков переработки нефти. В мазут марки 40 для снижения температуры застывания до 10 °С добавляют 8-15 % </w:t>
                  </w:r>
                  <w:proofErr w:type="spellStart"/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среднедистиллятных</w:t>
                  </w:r>
                  <w:proofErr w:type="spellEnd"/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фракций, в мазут марки 100 дизельные фракции не </w:t>
                  </w:r>
                  <w:proofErr w:type="spellStart"/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добавляют</w:t>
                  </w:r>
                  <w:proofErr w:type="gramStart"/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.Ф</w:t>
                  </w:r>
                  <w:proofErr w:type="gramEnd"/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лотские</w:t>
                  </w:r>
                  <w:proofErr w:type="spellEnd"/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мазуты марок Ф-5 и Ф-12 предназначены для сжигания в судовых энергетических установках. По сравнению с топочными мазутами марок 40 и 100 они обладают лучшими характеристиками: меньшими вязкостью, содержанием механических примесей и воды, зольностью и более низкой температурой застывания.</w:t>
                  </w:r>
                </w:p>
                <w:p w:rsidR="003C41B8" w:rsidRPr="003C41B8" w:rsidRDefault="003C41B8" w:rsidP="003C41B8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Флотский мазут марки Ф-5 получают смешением продуктов прямой перегонки нефти: в большинстве случаев 60-70 % мазута прямогонного и 30-40 % дизельного топлива с добавлением депрессорной присадки. Допускается использовать в его составе до 22 % </w:t>
                  </w:r>
                  <w:proofErr w:type="spellStart"/>
                  <w:proofErr w:type="gramStart"/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керосино-газойлевых</w:t>
                  </w:r>
                  <w:proofErr w:type="spellEnd"/>
                  <w:proofErr w:type="gramEnd"/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фракций вторичных процессов, в том числе легкого газойля каталитического и термического крекинга. Флотский мазут марки Ф-12 вырабатывают в небольших количествах на установках прямой перегонки нефти. Основными отличиями мазута Ф-12 от Ф-5 являются более жесткие требования по содержанию серы (0,6 % против 2,0 %) и менее жесткие требования по вязкости при 50</w:t>
                  </w:r>
                  <w:proofErr w:type="gramStart"/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°С</w:t>
                  </w:r>
                  <w:proofErr w:type="gramEnd"/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(12 °ВУ против 5 °ВУ).</w:t>
                  </w:r>
                </w:p>
                <w:tbl>
                  <w:tblPr>
                    <w:tblStyle w:val="a4"/>
                    <w:tblW w:w="5000" w:type="pct"/>
                    <w:tblLook w:val="04A0"/>
                  </w:tblPr>
                  <w:tblGrid>
                    <w:gridCol w:w="2187"/>
                    <w:gridCol w:w="1713"/>
                    <w:gridCol w:w="1659"/>
                    <w:gridCol w:w="1659"/>
                    <w:gridCol w:w="1659"/>
                  </w:tblGrid>
                  <w:tr w:rsidR="003C41B8" w:rsidRPr="003C41B8" w:rsidTr="003C41B8">
                    <w:tc>
                      <w:tcPr>
                        <w:tcW w:w="9210" w:type="dxa"/>
                        <w:gridSpan w:val="5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Характеристики мазута (ГОСТ 10585–99)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2205" w:type="dxa"/>
                        <w:vMerge w:val="restart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Показатели</w:t>
                        </w:r>
                      </w:p>
                    </w:tc>
                    <w:tc>
                      <w:tcPr>
                        <w:tcW w:w="7005" w:type="dxa"/>
                        <w:gridSpan w:val="4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Марка топлива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0" w:type="auto"/>
                        <w:vMerge/>
                        <w:hideMark/>
                      </w:tcPr>
                      <w:p w:rsidR="003C41B8" w:rsidRPr="003C41B8" w:rsidRDefault="003C41B8" w:rsidP="003C41B8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Ф-5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Ф-12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9210" w:type="dxa"/>
                        <w:gridSpan w:val="5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1. Вязкость при 50</w:t>
                        </w:r>
                        <w:proofErr w:type="gramStart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 °С</w:t>
                        </w:r>
                        <w:proofErr w:type="gramEnd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, не более: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220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условная, °ВУ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5,0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12,0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220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соответствующая ей </w:t>
                        </w: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lastRenderedPageBreak/>
                          <w:t>кинематическая, мм</w:t>
                        </w:r>
                        <w:proofErr w:type="gramStart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</w:t>
                        </w:r>
                        <w:proofErr w:type="gramEnd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/с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lastRenderedPageBreak/>
                          <w:t>36,2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89,0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9210" w:type="dxa"/>
                        <w:gridSpan w:val="5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lastRenderedPageBreak/>
                          <w:t>2. Вязкость при 80</w:t>
                        </w:r>
                        <w:proofErr w:type="gramStart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 °С</w:t>
                        </w:r>
                        <w:proofErr w:type="gramEnd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, не более: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220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условная, °ВУ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8,0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16,0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220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соответствующая ей кинематическая, мм</w:t>
                        </w:r>
                        <w:proofErr w:type="gramStart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</w:t>
                        </w:r>
                        <w:proofErr w:type="gramEnd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/с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59,0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118,0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9210" w:type="dxa"/>
                        <w:gridSpan w:val="5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3. Вязкость при 100</w:t>
                        </w:r>
                        <w:proofErr w:type="gramStart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 °С</w:t>
                        </w:r>
                        <w:proofErr w:type="gramEnd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, не более: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220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условная, °ВУ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6,8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220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соответствующая ей кинематическая, мм</w:t>
                        </w:r>
                        <w:proofErr w:type="gramStart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</w:t>
                        </w:r>
                        <w:proofErr w:type="gramEnd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/с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50,0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220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4. Динамическая вязкость при 0</w:t>
                        </w:r>
                        <w:proofErr w:type="gramStart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 °С</w:t>
                        </w:r>
                        <w:proofErr w:type="gramEnd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, Па·с, не более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2,7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9210" w:type="dxa"/>
                        <w:gridSpan w:val="5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5. Зольность, %, не более, для мазута: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220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малозольного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0,04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0,05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220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зольного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0,05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0,10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0,12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0,14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220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6. Массовая доля механических примесей, %, не более: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0,10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0,12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1,0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220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7. Массовая доля воды, %, не более: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0,3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0,3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1,0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1,0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220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8. Содержание </w:t>
                        </w:r>
                        <w:proofErr w:type="spellStart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водорастворимых</w:t>
                        </w:r>
                        <w:proofErr w:type="spellEnd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 кислот и щелочей</w:t>
                        </w:r>
                      </w:p>
                    </w:tc>
                    <w:tc>
                      <w:tcPr>
                        <w:tcW w:w="7005" w:type="dxa"/>
                        <w:gridSpan w:val="4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Отсутствие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9210" w:type="dxa"/>
                        <w:gridSpan w:val="5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9. Массовая доля серы, %, не более, для мазута видов: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220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I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0,5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220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II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1,0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0,6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1,0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1,0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220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III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1,5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220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IV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2,0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220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V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2,5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2,5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220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VI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3,0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3,0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220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VII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3,5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3,5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220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10. Коксуемость, %, не более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6,0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6,0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220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11. Содержание сероводорода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Отсутствие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9210" w:type="dxa"/>
                        <w:gridSpan w:val="5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12. Температура вспышки, °</w:t>
                        </w:r>
                        <w:proofErr w:type="gramStart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С</w:t>
                        </w:r>
                        <w:proofErr w:type="gramEnd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, не ниже: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220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в закрытом тигле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90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220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в открытом тигле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90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110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220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13. Температура застывания, °</w:t>
                        </w:r>
                        <w:proofErr w:type="gramStart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С</w:t>
                        </w:r>
                        <w:proofErr w:type="gramEnd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, не выше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-5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-8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10; 25*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25; 42*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9210" w:type="dxa"/>
                        <w:gridSpan w:val="5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14. Теплота сгорания (низшая) в пересчете на сухое топливо (не браковочная), кДж/</w:t>
                        </w:r>
                        <w:proofErr w:type="gramStart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кг</w:t>
                        </w:r>
                        <w:proofErr w:type="gramEnd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, не менее, для мазута видов: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220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I, II, III и IV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41454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41454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40740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40530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220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V, VI и VII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39900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39900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220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15. Плотность при </w:t>
                        </w: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lastRenderedPageBreak/>
                          <w:t>20</w:t>
                        </w:r>
                        <w:proofErr w:type="gramStart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 °С</w:t>
                        </w:r>
                        <w:proofErr w:type="gramEnd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, кг/м3, не более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lastRenderedPageBreak/>
                          <w:t>955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960</w:t>
                        </w:r>
                      </w:p>
                    </w:tc>
                    <w:tc>
                      <w:tcPr>
                        <w:tcW w:w="3510" w:type="dxa"/>
                        <w:gridSpan w:val="2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Не нормируется. </w:t>
                        </w: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lastRenderedPageBreak/>
                          <w:t>Определение обязательно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9210" w:type="dxa"/>
                        <w:gridSpan w:val="5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lastRenderedPageBreak/>
                          <w:t xml:space="preserve">* Для мазута из </w:t>
                        </w:r>
                        <w:proofErr w:type="spellStart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высокопарафинистых</w:t>
                        </w:r>
                        <w:proofErr w:type="spellEnd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нефтей</w:t>
                        </w:r>
                        <w:proofErr w:type="spellEnd"/>
                      </w:p>
                    </w:tc>
                  </w:tr>
                  <w:tr w:rsidR="003C41B8" w:rsidRPr="003C41B8" w:rsidTr="003C41B8">
                    <w:tc>
                      <w:tcPr>
                        <w:tcW w:w="9210" w:type="dxa"/>
                        <w:gridSpan w:val="5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767676"/>
                            <w:lang w:eastAsia="ru-RU"/>
                          </w:rPr>
                          <w:t>Примечания.</w:t>
                        </w:r>
                        <w:r w:rsidRPr="003C41B8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> </w:t>
                        </w:r>
                        <w:proofErr w:type="spellStart"/>
                        <w:r w:rsidRPr="003C41B8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>New</w:t>
                        </w:r>
                        <w:proofErr w:type="spellEnd"/>
                        <w:r w:rsidRPr="003C41B8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C41B8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>Roman</w:t>
                        </w:r>
                        <w:proofErr w:type="spellEnd"/>
                        <w:r w:rsidRPr="003C41B8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>"'&gt;</w:t>
                        </w:r>
                      </w:p>
                      <w:p w:rsidR="003C41B8" w:rsidRPr="003C41B8" w:rsidRDefault="003C41B8" w:rsidP="003C41B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>В I и IV кварталах в мазутах марок 40 и100 допускается температура вспышки в открытом тигле не ниже 65</w:t>
                        </w:r>
                        <w:proofErr w:type="gramStart"/>
                        <w:r w:rsidRPr="003C41B8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 xml:space="preserve"> °С</w:t>
                        </w:r>
                        <w:proofErr w:type="gramEnd"/>
                        <w:r w:rsidRPr="003C41B8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>, в закрытом тигле - не ниже 50 °С с указанием значения показателя в договорах и контрактах. Такие мазуты не предназначены для судовых энергетических установок.</w:t>
                        </w:r>
                      </w:p>
                      <w:p w:rsidR="003C41B8" w:rsidRPr="003C41B8" w:rsidRDefault="003C41B8" w:rsidP="003C41B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 xml:space="preserve">Мазуты марок 40 и 100, изготовленные из </w:t>
                        </w:r>
                        <w:proofErr w:type="spellStart"/>
                        <w:r w:rsidRPr="003C41B8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>высокопарафинистых</w:t>
                        </w:r>
                        <w:proofErr w:type="spellEnd"/>
                        <w:r w:rsidRPr="003C41B8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C41B8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>нефтей</w:t>
                        </w:r>
                        <w:proofErr w:type="spellEnd"/>
                        <w:r w:rsidRPr="003C41B8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>, не предназначены для судовых котельных установок.</w:t>
                        </w:r>
                      </w:p>
                      <w:p w:rsidR="003C41B8" w:rsidRPr="003C41B8" w:rsidRDefault="003C41B8" w:rsidP="003C41B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>Показатель 15 для мазута марок 40 и 100 определяется для осуществления приемо-сдаточных операций. При поставке мазутов Ф5, Ф12, 40 и 100 на экспорт показатель 15 определяется по [7] и не является браковочным.</w:t>
                        </w:r>
                      </w:p>
                      <w:p w:rsidR="003C41B8" w:rsidRPr="003C41B8" w:rsidRDefault="003C41B8" w:rsidP="003C41B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>В мазуте марок 40 и 100, вырабатываемом из газоконденсатного сырья, сероводород должен отсутствовать.</w:t>
                        </w:r>
                      </w:p>
                      <w:p w:rsidR="003C41B8" w:rsidRPr="003C41B8" w:rsidRDefault="003C41B8" w:rsidP="003C41B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 xml:space="preserve">Показатель 3 для топочного мазута марки 100 является </w:t>
                        </w:r>
                        <w:proofErr w:type="spellStart"/>
                        <w:r w:rsidRPr="003C41B8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>небраковочным</w:t>
                        </w:r>
                        <w:proofErr w:type="spellEnd"/>
                        <w:r w:rsidRPr="003C41B8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 xml:space="preserve"> до 01.01.2003, а показатель 2 для топочного мазута марки 100 нормируется до 01.01.2003.</w:t>
                        </w:r>
                      </w:p>
                    </w:tc>
                  </w:tr>
                </w:tbl>
                <w:p w:rsidR="003C41B8" w:rsidRPr="003C41B8" w:rsidRDefault="003C41B8" w:rsidP="003C41B8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3C41B8">
                    <w:rPr>
                      <w:rFonts w:ascii="Tahoma" w:eastAsia="Times New Roman" w:hAnsi="Tahoma" w:cs="Tahoma"/>
                      <w:b/>
                      <w:bCs/>
                      <w:color w:val="767676"/>
                      <w:lang w:eastAsia="ru-RU"/>
                    </w:rPr>
                    <w:t>Печное топливо</w:t>
                  </w:r>
                </w:p>
                <w:p w:rsidR="003C41B8" w:rsidRPr="003C41B8" w:rsidRDefault="003C41B8" w:rsidP="003C41B8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Печное бытовое топливо вырабатывается из дизельных фракций прямой перегонки и вторичного происхождения - дистиллятов термического, каталитического крекинга и коксования. Характеристика топлива в соответствии с ТУ 38. 101656-87 приведена в таблице. По фракционному составу печное бытовое топливо может быть несколько тяжелее дизельного топлива по ГОСТ 305-82 (до 360</w:t>
                  </w:r>
                  <w:proofErr w:type="gramStart"/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°С</w:t>
                  </w:r>
                  <w:proofErr w:type="gramEnd"/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перегоняется до 90 % вместо 96 %, вязкость печного топлива до 8,0 мм2/с при 20 °С против 3,0-6,0 мм2/с дизельного).</w:t>
                  </w:r>
                </w:p>
                <w:p w:rsidR="003C41B8" w:rsidRPr="003C41B8" w:rsidRDefault="003C41B8" w:rsidP="003C41B8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В нем не нормируются </w:t>
                  </w:r>
                  <w:proofErr w:type="spellStart"/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цетановое</w:t>
                  </w:r>
                  <w:proofErr w:type="spellEnd"/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и </w:t>
                  </w:r>
                  <w:proofErr w:type="gramStart"/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йодное</w:t>
                  </w:r>
                  <w:proofErr w:type="gramEnd"/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числа, температура помутнения. При переработке </w:t>
                  </w:r>
                  <w:proofErr w:type="gramStart"/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сернистых</w:t>
                  </w:r>
                  <w:proofErr w:type="gramEnd"/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</w:t>
                  </w:r>
                  <w:proofErr w:type="spellStart"/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нефтей</w:t>
                  </w:r>
                  <w:proofErr w:type="spellEnd"/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массовая доля серы в топливе - до 1,1 %.</w:t>
                  </w:r>
                </w:p>
                <w:p w:rsidR="003C41B8" w:rsidRPr="003C41B8" w:rsidRDefault="003C41B8" w:rsidP="003C41B8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В период с 1 апреля по 1 сентября допускается производство топлива с температурой застывания не выше - 5 </w:t>
                  </w:r>
                  <w:proofErr w:type="spellStart"/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°С.Для</w:t>
                  </w:r>
                  <w:proofErr w:type="spellEnd"/>
                  <w:r w:rsidRPr="003C41B8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улучшения низкотемпературных свойств печного топлива в промышленности применяют депрессорные присадки, синтезированные на основе сополимера этилена с винилацетатом.</w:t>
                  </w:r>
                </w:p>
                <w:tbl>
                  <w:tblPr>
                    <w:tblStyle w:val="a4"/>
                    <w:tblW w:w="5000" w:type="pct"/>
                    <w:tblLook w:val="04A0"/>
                  </w:tblPr>
                  <w:tblGrid>
                    <w:gridCol w:w="3177"/>
                    <w:gridCol w:w="5700"/>
                  </w:tblGrid>
                  <w:tr w:rsidR="003C41B8" w:rsidRPr="003C41B8" w:rsidTr="003C41B8">
                    <w:tc>
                      <w:tcPr>
                        <w:tcW w:w="9360" w:type="dxa"/>
                        <w:gridSpan w:val="2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Характеристики печного бытового топлива (ТУ 38.101656–87)(ГОСТ 10585–99)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3150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Показатели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Значения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0" w:type="auto"/>
                        <w:gridSpan w:val="2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Фракционный состав: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3150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10 % перегоняется при температуре, °</w:t>
                        </w:r>
                        <w:proofErr w:type="gramStart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С</w:t>
                        </w:r>
                        <w:proofErr w:type="gramEnd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, не ниже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160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3150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90 % перегоняется при температуре, °</w:t>
                        </w:r>
                        <w:proofErr w:type="gramStart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С</w:t>
                        </w:r>
                        <w:proofErr w:type="gramEnd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, не выше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360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3150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Кинематическая вязкость при 20</w:t>
                        </w:r>
                        <w:proofErr w:type="gramStart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 °С</w:t>
                        </w:r>
                        <w:proofErr w:type="gramEnd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, мм2/с, не более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8,0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0" w:type="auto"/>
                        <w:gridSpan w:val="2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Температура застывания, °</w:t>
                        </w:r>
                        <w:proofErr w:type="gramStart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С</w:t>
                        </w:r>
                        <w:proofErr w:type="gramEnd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, не выше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3150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в период с 1 сентября по 1 апреля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-15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3150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в период с 1 апреля по 1 </w:t>
                        </w: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lastRenderedPageBreak/>
                          <w:t>сентября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lastRenderedPageBreak/>
                          <w:t>-5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3150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lastRenderedPageBreak/>
                          <w:t>Температура вспышки в закрытом тигле, °</w:t>
                        </w:r>
                        <w:proofErr w:type="gramStart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С</w:t>
                        </w:r>
                        <w:proofErr w:type="gramEnd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, не ниже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45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0" w:type="auto"/>
                        <w:gridSpan w:val="2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Массовая доля серы, %, не более: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3150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в малосернистом топливе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0,5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3150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в сернистом топливе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1,1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3150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Испытание на медной пластинке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Выдерживает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3150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Кислотность, мг КОН/100 см3 топлива, не более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5,0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3150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Зольность, %, не более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0,02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3150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Коксуемость 10 %-</w:t>
                        </w:r>
                        <w:proofErr w:type="spellStart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ного</w:t>
                        </w:r>
                        <w:proofErr w:type="spellEnd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 остатка, %, не более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0,35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3150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Содержание воды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Следы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3150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Цвет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От светло-коричневого до черного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3150" w:type="dxa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Плотность при 20</w:t>
                        </w:r>
                        <w:proofErr w:type="gramStart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 °С</w:t>
                        </w:r>
                        <w:proofErr w:type="gramEnd"/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, кг/м3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Не нормируется, определение обязательно</w:t>
                        </w:r>
                      </w:p>
                    </w:tc>
                  </w:tr>
                  <w:tr w:rsidR="003C41B8" w:rsidRPr="003C41B8" w:rsidTr="003C41B8">
                    <w:tc>
                      <w:tcPr>
                        <w:tcW w:w="0" w:type="auto"/>
                        <w:gridSpan w:val="2"/>
                        <w:hideMark/>
                      </w:tcPr>
                      <w:p w:rsidR="003C41B8" w:rsidRPr="003C41B8" w:rsidRDefault="003C41B8" w:rsidP="003C41B8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3C41B8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767676"/>
                            <w:lang w:eastAsia="ru-RU"/>
                          </w:rPr>
                          <w:t>Примечания.</w:t>
                        </w:r>
                        <w:r w:rsidRPr="003C41B8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> </w:t>
                        </w:r>
                        <w:r w:rsidRPr="003C41B8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br/>
                          <w:t xml:space="preserve">Содержание сероводорода, </w:t>
                        </w:r>
                        <w:proofErr w:type="spellStart"/>
                        <w:r w:rsidRPr="003C41B8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>водорастворимых</w:t>
                        </w:r>
                        <w:proofErr w:type="spellEnd"/>
                        <w:r w:rsidRPr="003C41B8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 xml:space="preserve"> кислот и щелочей, механических примесей — отсутствие.</w:t>
                        </w:r>
                      </w:p>
                    </w:tc>
                  </w:tr>
                </w:tbl>
                <w:p w:rsidR="003C41B8" w:rsidRPr="003C41B8" w:rsidRDefault="003C41B8" w:rsidP="003C41B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</w:p>
              </w:tc>
            </w:tr>
          </w:tbl>
          <w:p w:rsidR="003C41B8" w:rsidRPr="003C41B8" w:rsidRDefault="003C41B8" w:rsidP="003C41B8">
            <w:pPr>
              <w:spacing w:after="0" w:line="240" w:lineRule="auto"/>
              <w:rPr>
                <w:rFonts w:ascii="Tahoma" w:eastAsia="Times New Roman" w:hAnsi="Tahoma" w:cs="Tahoma"/>
                <w:color w:val="767676"/>
                <w:lang w:eastAsia="ru-RU"/>
              </w:rPr>
            </w:pPr>
          </w:p>
        </w:tc>
      </w:tr>
    </w:tbl>
    <w:p w:rsidR="00E64808" w:rsidRDefault="003C41B8">
      <w:r w:rsidRPr="003C41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sectPr w:rsidR="00E64808" w:rsidSect="00E6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D6A7E"/>
    <w:multiLevelType w:val="multilevel"/>
    <w:tmpl w:val="DD1E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C41B8"/>
    <w:rsid w:val="003C41B8"/>
    <w:rsid w:val="004D156E"/>
    <w:rsid w:val="00504CC7"/>
    <w:rsid w:val="00897F10"/>
    <w:rsid w:val="00985BA0"/>
    <w:rsid w:val="009E234F"/>
    <w:rsid w:val="00B57B2D"/>
    <w:rsid w:val="00D71032"/>
    <w:rsid w:val="00E11693"/>
    <w:rsid w:val="00E51CA3"/>
    <w:rsid w:val="00E6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41B8"/>
  </w:style>
  <w:style w:type="table" w:styleId="a4">
    <w:name w:val="Table Grid"/>
    <w:basedOn w:val="a1"/>
    <w:uiPriority w:val="59"/>
    <w:rsid w:val="003C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5817</Characters>
  <Application>Microsoft Office Word</Application>
  <DocSecurity>0</DocSecurity>
  <Lines>48</Lines>
  <Paragraphs>13</Paragraphs>
  <ScaleCrop>false</ScaleCrop>
  <Company>Microsoft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2014-12-22T08:02:00Z</dcterms:created>
  <dcterms:modified xsi:type="dcterms:W3CDTF">2014-12-22T08:03:00Z</dcterms:modified>
</cp:coreProperties>
</file>