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972669" w:rsidRPr="00972669" w:rsidTr="00972669">
        <w:trPr>
          <w:tblCellSpacing w:w="0" w:type="dxa"/>
        </w:trPr>
        <w:tc>
          <w:tcPr>
            <w:tcW w:w="0" w:type="auto"/>
            <w:hideMark/>
          </w:tcPr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87"/>
            </w:tblGrid>
            <w:tr w:rsidR="00972669" w:rsidRPr="00972669">
              <w:trPr>
                <w:tblCellSpacing w:w="0" w:type="dxa"/>
              </w:trPr>
              <w:tc>
                <w:tcPr>
                  <w:tcW w:w="4750" w:type="pct"/>
                  <w:hideMark/>
                </w:tcPr>
                <w:p w:rsidR="00972669" w:rsidRPr="00972669" w:rsidRDefault="00972669" w:rsidP="00B02FF4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sz w:val="20"/>
                      <w:szCs w:val="20"/>
                      <w:lang w:eastAsia="ru-RU"/>
                    </w:rPr>
                    <w:t>Бензины</w:t>
                  </w:r>
                  <w:r w:rsidR="00B02FF4">
                    <w:rPr>
                      <w:rFonts w:ascii="Tahoma" w:eastAsia="Times New Roman" w:hAnsi="Tahoma" w:cs="Tahoma"/>
                      <w:b/>
                      <w:bCs/>
                      <w:color w:val="767676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sz w:val="20"/>
                      <w:szCs w:val="20"/>
                      <w:lang w:eastAsia="ru-RU"/>
                    </w:rPr>
                    <w:t>автомобильные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 xml:space="preserve">Бензины предназначены для применения в поршневых двигателях внутреннего сгорания с принудительным воспламенением (от искры). В зависимости от назначения их разделяют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на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автомобильные и авиационные.</w:t>
                  </w:r>
                </w:p>
                <w:p w:rsidR="00972669" w:rsidRPr="00972669" w:rsidRDefault="00972669" w:rsidP="00B02FF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Несмотря на различия в условиях применения автомобильные и авиационные бензины характеризуются в основном общими показателями качества, определяющими их физико-химические и эксплуатационные свойства.</w:t>
                  </w:r>
                </w:p>
                <w:p w:rsidR="00972669" w:rsidRPr="00972669" w:rsidRDefault="00972669" w:rsidP="00B02FF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Современные автомобильные и авиационные бензины должны удовлетворять ряду требований, обеспечивающих экономичную и надежную работу двигателя, и требованиям эксплуатации: иметь хорошую испаряемость, позволяющую получить однородную топливовоздушную смесь оптимального состава при любых температурах; иметь групповой углеводородный состав, обеспечивающий устойчивый,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бездетонационный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процесс сгорания на всех режимах работы двигателя; не изменять своего состава и свой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ств пр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и длительном хранении и не оказывать вредного влияния на детали топливной системы, резервуары, резинотехнические изделия и др. В последние годы экологические свойства топлива выдвигаются на первый план.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Ассортимент, качество и состав автомобильных бензинов 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Основную массу автомобильных бензинов в России вырабатывают по </w:t>
                  </w:r>
                  <w:hyperlink r:id="rId4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ГОСТ 2084-77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 и ГОСТ Р51105-97 и ТУ 38.001165-97. В зависимости от </w:t>
                  </w:r>
                  <w:hyperlink r:id="rId5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октанового числа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 ГОСТ 2084-77 предусматривает пять марок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автобензинов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: А-72, А-76, АИ-91, АИ-93 и АИ-95. Для первых двух марок цифры указывают октановые числа, определяемые по моторному методу,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для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последних - по исследовательскому.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связи с увеличением доли легкового транспорта в общем объеме автомобильного парка наблюдается заметная тенденция снижения потребности в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низкооктановых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бензинах и увеличения потребления высокооктановых.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Бензин А-72 практически не вырабатывается ввиду отсутствия техники, эксплуатируемой на нем. Наибольшая потребность существует в бензине А-92, который вырабатывается по ТУ 38.001165-97, хотя доля бензина А-76 в общем объеме производства остается очень высокой. Указанные ТУ предусматривают также марки бензинов А-80 и А-96 с октановыми числами по исследовательскому методу соответственно 80 и 96.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Эти бензины предназначены в основном для поставки на экспорт. Бензин АИ-98 с октановым числом 98 по исследовательскому методу производится по ТУ 38.401-58-122-95 и ТУ 38.401-58-127-95. Бензины А-76, А-80, АИ-91, А-92 и А-96 допускается вырабатывать с использованием этиловой жидкости.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Малоэтилированный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бензин АИ-91 с содержанием свинца 0,15 г/дм3 выпускается по отдельным техническим условиям (ТУ 38.401-58-86-94). При производстве бензинов АИ-95 и АИ-98 использование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алкилсвинцовых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антидетонаторов не допускается. Требования </w:t>
                  </w:r>
                  <w:hyperlink r:id="rId6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ГОСТ 2084-77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 к качеству автомобильных бензинов приведены в таблице. Все бензины, вырабатываемые по </w:t>
                  </w:r>
                  <w:hyperlink r:id="rId7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ГОСТ 2084-77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 , в зависимости от показателей испаряемости делят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на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летние и зимние. Зимние бензины предназначены для применения в северных и северо-восточных районах в течение всех сезонов и в остальных районах с 1 октября до 1 апреля.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Летние - для применения во всех районах кроме северных и северо-восточных в период с 1 апреля по 1 октября; в южных районах допускается 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lastRenderedPageBreak/>
                    <w:t>применять летний бензин в течение всех сезонов.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Параметры автомобильных бензинов, вырабатываемых по </w:t>
                  </w:r>
                  <w:hyperlink r:id="rId8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ГОСТ 2084-77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 , существенно отличаются от принятых международных норм, особенно в части экологических требований. В целях повышения конкурентоспособности российских бензинов и доведения их качества до уровня европейских стандартов разработан ГОСТ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51105-97 "Топлива для двигателей внутреннего сгорания. Неэтилированный бензин. Технические условия", который вводится в действие с 01.01.99 г. Этот стандарт не заменяет </w:t>
                  </w:r>
                  <w:hyperlink r:id="rId9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ГОСТ 2084-77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 , которым предусмотрен выпуск как этилированных, так и неэтилированных бензинов. В соответствии с ГОСТ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51105-97 будут вырабатываться только неэтилированные бензины (максимальное содержание свинца не более 0,01 г/дм3).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Характеристики автомобильных бензинов (</w:t>
                  </w:r>
                  <w:hyperlink r:id="rId10" w:history="1">
                    <w:r w:rsidRPr="00972669">
                      <w:rPr>
                        <w:rFonts w:ascii="Tahoma" w:eastAsia="Times New Roman" w:hAnsi="Tahoma" w:cs="Tahoma"/>
                        <w:b/>
                        <w:bCs/>
                        <w:color w:val="0000FF"/>
                        <w:u w:val="single"/>
                        <w:lang w:eastAsia="ru-RU"/>
                      </w:rPr>
                      <w:t>ГОСТ 2084-77</w:t>
                    </w:r>
                  </w:hyperlink>
                  <w:proofErr w:type="gramStart"/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 )</w:t>
                  </w:r>
                  <w:proofErr w:type="gramEnd"/>
                </w:p>
                <w:tbl>
                  <w:tblPr>
                    <w:tblStyle w:val="a5"/>
                    <w:tblW w:w="5000" w:type="pct"/>
                    <w:tblLook w:val="04A0"/>
                  </w:tblPr>
                  <w:tblGrid>
                    <w:gridCol w:w="2164"/>
                    <w:gridCol w:w="1038"/>
                    <w:gridCol w:w="1300"/>
                    <w:gridCol w:w="1261"/>
                    <w:gridCol w:w="1038"/>
                    <w:gridCol w:w="1038"/>
                    <w:gridCol w:w="1038"/>
                  </w:tblGrid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Показатели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А-72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А-76</w:t>
                        </w: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br/>
                        </w: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неэтил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А-76 этил.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АИ-91 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АИ-93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АИ-95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Детонационная стойкость: октановое число, не менее: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моторный метод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82,5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исследовательский метод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Не нормируется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Массовое содержание свинца, 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г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/дм3,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Фракционный состав: температура начала перегонки бензина,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, не ниже: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летнего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зимнего</w:t>
                        </w:r>
                      </w:p>
                    </w:tc>
                    <w:tc>
                      <w:tcPr>
                        <w:tcW w:w="0" w:type="auto"/>
                        <w:gridSpan w:val="6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Не нормируется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10 % бензина перегоняется при температуре,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, не выше: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летнего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зимнего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50 % бензина перегоняется при температуре,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, не выше: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летнего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115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120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зимнего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90 % бензина перегоняется при температуре,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, не выше: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летнего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зимнего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160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Конец кипения бензина,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, не выше: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летнего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зимнего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Остаток в колбе, %,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Остаток и потери, %,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Давление насыщенных паров бензина, кПа: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летнего,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зимнего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66,7-93,3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66,7-93,3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66,7-93,3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66,7-93,3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66,7-93,3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66,7-93,3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Кислотность, мг КОН/100 см3,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Содержание фактических смол, мг/100см3, не более: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на месте производства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на месте потребления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Индукционный период на месте производства бензина, мин, не менее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Массовая доля серы, %,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Цвет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Желтый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7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767676"/>
                            <w:lang w:eastAsia="ru-RU"/>
                          </w:rPr>
                          <w:t>Примечания.</w:t>
                        </w: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 xml:space="preserve">1. Для бензинов всех марок: испытание на медной пластинке — выдерживают; содержание </w:t>
                        </w: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водорастворимых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кислот и щелочей, механических примесей и воды — </w:t>
                        </w: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отсутствие;</w:t>
                        </w:r>
                        <w:hyperlink r:id="rId11" w:history="1">
                          <w:r w:rsidRPr="00972669">
                            <w:rPr>
                              <w:rFonts w:ascii="Tahoma" w:eastAsia="Times New Roman" w:hAnsi="Tahoma" w:cs="Tahoma"/>
                              <w:i/>
                              <w:iCs/>
                              <w:color w:val="0000FF"/>
                              <w:u w:val="single"/>
                              <w:lang w:eastAsia="ru-RU"/>
                            </w:rPr>
                            <w:t>плотность</w:t>
                          </w:r>
                          <w:proofErr w:type="spellEnd"/>
                          <w:r w:rsidRPr="00972669">
                            <w:rPr>
                              <w:rFonts w:ascii="Tahoma" w:eastAsia="Times New Roman" w:hAnsi="Tahoma" w:cs="Tahoma"/>
                              <w:i/>
                              <w:iCs/>
                              <w:color w:val="0000FF"/>
                              <w:u w:val="single"/>
                              <w:lang w:eastAsia="ru-RU"/>
                            </w:rPr>
                            <w:t xml:space="preserve"> при 20</w:t>
                          </w:r>
                          <w:proofErr w:type="gramStart"/>
                          <w:r w:rsidRPr="00972669">
                            <w:rPr>
                              <w:rFonts w:ascii="Tahoma" w:eastAsia="Times New Roman" w:hAnsi="Tahoma" w:cs="Tahoma"/>
                              <w:i/>
                              <w:iCs/>
                              <w:color w:val="0000FF"/>
                              <w:u w:val="single"/>
                              <w:lang w:eastAsia="ru-RU"/>
                            </w:rPr>
                            <w:t xml:space="preserve"> °С</w:t>
                          </w:r>
                          <w:proofErr w:type="gramEnd"/>
                        </w:hyperlink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 — не нормируется, определение обязательно.</w:t>
                        </w: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 xml:space="preserve">2. Для городов и районов, а также предприятий, где Главным санитарным врачом запрещено применение этилированных бензинов, предназначаются только 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неэтилированные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.</w:t>
                        </w: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>3. Допускается вырабатывать бензин, предназначенный для применения в южных районах, со следующими показателями по фракционному составу: 10 % перегоняется при температуре не выше 75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; 50 % перегоняется при температуре не выше 120 °С;</w:t>
                        </w: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 xml:space="preserve">4. Для бензинов, изготовленных с применением компонентов каталитического </w:t>
                        </w: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риформинга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, допускаемая температура конца кипения не выше 205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— для летнего и не выше 195 °С — для зимнего.</w:t>
                        </w:r>
                      </w:p>
                    </w:tc>
                  </w:tr>
                </w:tbl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зависимости от октанового числа по исследовательскому методу установлено четыре марки бензинов: "Нормаль-80", "Регуляр-91", "Премиум-95", "Супер-98". Бензин "Нормаль-80" предназначен для использования на грузовых автомобилях наряду с бензином А-76. Неэтилированный бензин "Регуляр-91" предназначен для эксплуатации автомобилей взамен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этилированного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А-93. Автомобильные бензины "Премиум-95" и "Супер-98" полностью отвечают европейским требованиям, конкурентоспособны на нефтяном рынке и предназначены в основном для зарубежных автомобилей, ввозимых в Россию.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 xml:space="preserve">С целью ускорения перехода на производство неэтилированных бензинов взамен этиловой жидкости допускается использование марганцевого антидетонатора в концентрации не более - 5 мг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М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n</w:t>
                  </w:r>
                  <w:proofErr w:type="spellEnd"/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/дм3 для марки "Нормаль-80" и не более 18 мг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Мn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/дм3 для марки "Регуляр-91". В соответствии с европейскими требованиями по ограничению содержания бензола введен показатель "объемная доля бензола" - не более 5 %. Установлена норма по показателю "</w:t>
                  </w:r>
                  <w:hyperlink r:id="rId12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плотность при 15</w:t>
                    </w:r>
                    <w:proofErr w:type="gramStart"/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 xml:space="preserve"> °С</w:t>
                    </w:r>
                    <w:proofErr w:type="gramEnd"/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".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Ужесточена норма на массовую долю серы - до 0,05 %. Для обеспечения нормальной эксплуатации автомобилей и рационального использования бензинов введено пять классов испаряемости для применения в различных климатических районах по ГОСТ 16350 - 80. Наряду с определением температуры перегонки бензина при заданном объеме предусмотрено определение объема испарившегося бензина при заданной температуре 70, 100 и 180 °С. Введен показатель "индекс испаряемости". В ГОСТ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51105-97 наряду с отечественными включены международные стандарты на методы испытаний (ISO, EN, ASTM).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Нормы и требования к качеству автомобильных бензинов и характеристики испаряемости по ГОСТ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51105-97 приведены в таблице.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 xml:space="preserve">Нормы и требования к качеству автомобильных бензинов по ГОСТ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 xml:space="preserve"> 51105–97</w:t>
                  </w:r>
                </w:p>
                <w:tbl>
                  <w:tblPr>
                    <w:tblStyle w:val="a5"/>
                    <w:tblW w:w="5000" w:type="pct"/>
                    <w:tblLook w:val="04A0"/>
                  </w:tblPr>
                  <w:tblGrid>
                    <w:gridCol w:w="2164"/>
                    <w:gridCol w:w="1914"/>
                    <w:gridCol w:w="1876"/>
                    <w:gridCol w:w="1927"/>
                    <w:gridCol w:w="996"/>
                  </w:tblGrid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lastRenderedPageBreak/>
                          <w:t>Показатели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Нормаль-80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Регуляр-91</w:t>
                        </w:r>
                      </w:p>
                    </w:tc>
                    <w:tc>
                      <w:tcPr>
                        <w:tcW w:w="1500" w:type="dxa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Премиум-95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Супер-98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Октановое число, не менее: моторный метод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76,0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82,5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88,0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Октановое число, не менее: исследовательский метод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80,0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91,0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95,0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98,0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Содержание свинца, 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г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/дм3, не более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Содержание марганца, мг/дм3, не более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Содержание фактических смол, мг /100 см3, не более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5,0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Индукционный период бензина, мин, не менее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360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Массовая доля серы, %, не более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Объемная доля бензола, %, не более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Испытание на медной пластине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Выдерживает, класс 1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Внешний вид</w:t>
                        </w:r>
                      </w:p>
                    </w:tc>
                    <w:tc>
                      <w:tcPr>
                        <w:tcW w:w="0" w:type="auto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Чистый, прозрачный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Плотность при 15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°С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кг/м3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700-750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725-780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725-780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72669" w:rsidRPr="00972669" w:rsidRDefault="00972669" w:rsidP="00972669">
                        <w:pPr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725-780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gridSpan w:val="5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i/>
                            <w:iCs/>
                            <w:color w:val="767676"/>
                            <w:lang w:eastAsia="ru-RU"/>
                          </w:rPr>
                          <w:t>Примечания.</w:t>
                        </w: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>1. Содержание марганца определяют только для бензинов, с марганцевым антидетонатором (МЦТМ).</w:t>
                        </w: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br/>
                          <w:t xml:space="preserve">2. Автомобильные бензины, предназначенные для длительного хранения (5 лет) в </w:t>
                        </w: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Госрезерве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 xml:space="preserve"> и Министерстве обороны, должны иметь индукционный период не менее 1200 мин.</w:t>
                        </w:r>
                      </w:p>
                    </w:tc>
                  </w:tr>
                </w:tbl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По составу автомобильные бензины представляют собой смесь компонентов, получаемых в результате различных технологических процессов: прямой перегонки нефти, каталитического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риформинга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каталитического крекинга и гидрокрекинга вакуумного газойля, изомеризации прямогонных фракций,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алкилирования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ароматизации термического крекинга,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висбрекинга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, замедленного коксования. Компонентный состав бензина зависит, в основном, от его марки и определяется набором технологических установок на нефтеперерабатывающем заводе.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Базовым компонентом для выработки автомобильных бензинов являются обычно бензины каталитического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риформинга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или каталитического крекинга. Бензины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каталитического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риформинга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характеризуются низким содержанием серы, в их составе практически отсутствуют олефины, поэтому они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высокостабильны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при хранении. Однако повышенное содержание в них ароматических углеводородов с экологической точки зрения является лимитирующим фактором. К их недостаткам также относится неравномерность распределения детонационной стойкости по 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lastRenderedPageBreak/>
                    <w:t xml:space="preserve">фракциям. В составе бензинового фонда России доля компонента каталитического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риформинга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превышает 50 %.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Бензины каталитического крекинга характеризуются низкой массовой долей серы, октановыми числами по исследовательскому методу 90-93 единицы. Содержание в них ароматических углеводородов составляет 30-40 %,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олефиновых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- 25-35 %. В их составе практически отсутствуют диеновые углеводороды, поэтому они обладают относительно высокой химической стабильностью (индукционный период 800-900 мин.). По сравнению с бензинами каталитического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риформинга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для бензинов каталитического крекинга характерно более равномерное распределение детонационной стойкости по фракциям. Поэтому в качестве базы для производства автомобильных бензинов целесообразно использовать смесь компонентов каталитического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риформинга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каталитического крекинга.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Бензины таких термических процессов, как крекинг, замедленное коксование имеют низкую детонационную стойкость и химическую стабильность, высокое содержание серы и используются только для получения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низкооктановых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бензинов в ограниченных количествах.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 xml:space="preserve">При производстве высокооктановых бензинов используются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алкилбензин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изооктан,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изопентан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и толуол. Бензины АИ-95 и АИ-98 обычно получают с добавлением кислородсодержащих компонентов: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метил-трет-бутилового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эфира (МТБЭ) или его смеси с </w:t>
                  </w:r>
                  <w:proofErr w:type="spellStart"/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трет-бутанолом</w:t>
                  </w:r>
                  <w:proofErr w:type="spellEnd"/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получившей название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фэтерол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. Введение МТБЭ в бензин позволяет повысить полноту его сгорания и равномерность распределения детонационной стойкости по фракциям. Максимально допустимая концентрация МТБЭ в бензинах составляет 15 % из-за его относительно низкой теплоты сгорания и высокой агрессивности по отношению к резинам.</w:t>
                  </w:r>
                </w:p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Для достижения требуемого уровня детонационных свойств этилированных бензинов к ним добавляют этиловую жидкость (до 0,15 г свинца/дм3 бензина). К бензинам вторичных процессов, содержащим непредельные углеводороды, для их стабилизации и обеспечения требований по индукционному периоду разрешается добавлять антиокислители Агидол-1 или Агидол-12. В целях обеспечения безопасности в обращении и маркировки этилированные бензины должны быть окрашены. Бензин А-76 окрашивается в желтый цвет жирорастворимым желтым красителем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К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, бензин АИ-91 - в оранжево-красный цвет жирорастворимым темно-красным красителем Ж. Этилированные бензины, предназначенные для экспорта, не окрашиваются.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Примерные компонентные составы автомобильных бензинов различных марок приведены в таблице.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Средние компонентные составы автомобильных бензинов</w:t>
                  </w:r>
                </w:p>
                <w:tbl>
                  <w:tblPr>
                    <w:tblStyle w:val="a5"/>
                    <w:tblW w:w="5000" w:type="pct"/>
                    <w:tblLook w:val="04A0"/>
                  </w:tblPr>
                  <w:tblGrid>
                    <w:gridCol w:w="3579"/>
                    <w:gridCol w:w="978"/>
                    <w:gridCol w:w="723"/>
                    <w:gridCol w:w="722"/>
                    <w:gridCol w:w="708"/>
                    <w:gridCol w:w="723"/>
                    <w:gridCol w:w="722"/>
                    <w:gridCol w:w="722"/>
                  </w:tblGrid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Компонент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А-76 (А-80)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А-76*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АИ-91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А-92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А-92*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АИ-95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АИ-98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9360" w:type="dxa"/>
                        <w:gridSpan w:val="8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 xml:space="preserve">Бензин 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каталитического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риформинга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мягкого режима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40-80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70-60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60-90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60-88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50-100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жесткого режима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40-100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40-100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10-40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5-90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25-88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Ксилольная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фракция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10-30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20-40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20-40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Бензин каталитического крекинга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20-80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10-60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10-85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10-85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10-85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10-50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10-20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Бензин прямой перегонки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20-60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40-</w:t>
                        </w: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10-</w:t>
                        </w: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10-</w:t>
                        </w: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10-</w:t>
                        </w: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80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Алкилбензин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10-35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15-50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Бутаны+изопентан</w:t>
                        </w:r>
                        <w:proofErr w:type="spellEnd"/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1-7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1-7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1-10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Газовый бензин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Толуол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0-7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8-15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10-15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Бензин коксования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1-5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proofErr w:type="spell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Гидростабилизированный</w:t>
                        </w:r>
                        <w:proofErr w:type="spell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 бензин пиролиза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10-35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10-30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10-30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10-30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10-20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10-20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381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МТБЭ</w:t>
                        </w:r>
                      </w:p>
                    </w:tc>
                    <w:tc>
                      <w:tcPr>
                        <w:tcW w:w="108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&lt;=8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5-12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5-12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10-15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10-15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9360" w:type="dxa"/>
                        <w:gridSpan w:val="8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i/>
                            <w:iCs/>
                            <w:color w:val="767676"/>
                            <w:lang w:eastAsia="ru-RU"/>
                          </w:rPr>
                          <w:t>* - Этилированный.</w:t>
                        </w:r>
                      </w:p>
                    </w:tc>
                  </w:tr>
                </w:tbl>
                <w:p w:rsidR="00972669" w:rsidRPr="00972669" w:rsidRDefault="00972669" w:rsidP="00972669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В последнее время ассортимент </w:t>
                  </w:r>
                  <w:proofErr w:type="spell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автобензинов</w:t>
                  </w:r>
                  <w:proofErr w:type="spell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значительно пополнился за счет новых марок, выпускаемых по техническим условиям. Это обусловлено резким ростом производства неэтилированного бензина и сокращением производства бензина этилированного.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 xml:space="preserve">При этом тетраэтилсвинец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заменяется на различные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нетрадиционные присадки и добавки, ранее выпускаемыми химической и микробиологической промышленности в иных целях.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К таким веществам относятся различные эфиры, спирты, металлоорганические соединения и т.д. Необходимость производства таких бензинов по техническим условиям диктуется тем, что все присадки и добавки могут вводиться в строго определенных концентрациях. Для контроля содержания этих компонентов в технических условиях предусматриваются специальные показатели и вводятся дополнительные методики контроля.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>Все бензины, выпускаемые по техническим условиям, должны соответствовать требованиям </w:t>
                  </w:r>
                  <w:hyperlink r:id="rId13" w:history="1"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 xml:space="preserve">ГОСТ </w:t>
                    </w:r>
                    <w:proofErr w:type="gramStart"/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>Р</w:t>
                    </w:r>
                    <w:proofErr w:type="gramEnd"/>
                    <w:r w:rsidRPr="00972669">
                      <w:rPr>
                        <w:rFonts w:ascii="Tahoma" w:eastAsia="Times New Roman" w:hAnsi="Tahoma" w:cs="Tahoma"/>
                        <w:color w:val="0000FF"/>
                        <w:u w:val="single"/>
                        <w:lang w:eastAsia="ru-RU"/>
                      </w:rPr>
                      <w:t xml:space="preserve"> 51313-99 "Бензины автомобильные. Общие технические требования"</w:t>
                    </w:r>
                  </w:hyperlink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,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который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вводится с 01 июля 2000г.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  <w:t xml:space="preserve">Соответствие бензинов, выпускаемых по техническим условиям, требованием ГОСТ </w:t>
                  </w:r>
                  <w:proofErr w:type="gramStart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>Р</w:t>
                  </w:r>
                  <w:proofErr w:type="gramEnd"/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t xml:space="preserve"> 51313-99 проверяется при их сертификации, которая является обязательной.</w:t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  <w:br/>
                  </w:r>
                  <w:r w:rsidRPr="00972669">
                    <w:rPr>
                      <w:rFonts w:ascii="Tahoma" w:eastAsia="Times New Roman" w:hAnsi="Tahoma" w:cs="Tahoma"/>
                      <w:b/>
                      <w:bCs/>
                      <w:color w:val="767676"/>
                      <w:lang w:eastAsia="ru-RU"/>
                    </w:rPr>
                    <w:t>Бензины автомобильные. Общие технические условия</w:t>
                  </w:r>
                </w:p>
                <w:tbl>
                  <w:tblPr>
                    <w:tblStyle w:val="a5"/>
                    <w:tblW w:w="5000" w:type="pct"/>
                    <w:tblLook w:val="04A0"/>
                  </w:tblPr>
                  <w:tblGrid>
                    <w:gridCol w:w="3759"/>
                    <w:gridCol w:w="763"/>
                    <w:gridCol w:w="763"/>
                    <w:gridCol w:w="763"/>
                    <w:gridCol w:w="763"/>
                    <w:gridCol w:w="2066"/>
                  </w:tblGrid>
                  <w:tr w:rsidR="00972669" w:rsidRPr="00972669" w:rsidTr="00972669">
                    <w:tc>
                      <w:tcPr>
                        <w:tcW w:w="4140" w:type="dxa"/>
                        <w:vMerge w:val="restart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3000" w:type="dxa"/>
                        <w:gridSpan w:val="4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Значение показателя для типов бензинов</w:t>
                        </w:r>
                      </w:p>
                    </w:tc>
                    <w:tc>
                      <w:tcPr>
                        <w:tcW w:w="2220" w:type="dxa"/>
                        <w:vMerge w:val="restart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Метод испытания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0" w:type="auto"/>
                        <w:vMerge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I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II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III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b/>
                            <w:bCs/>
                            <w:color w:val="767676"/>
                            <w:lang w:eastAsia="ru-RU"/>
                          </w:rPr>
                          <w:t>IV</w:t>
                        </w:r>
                      </w:p>
                    </w:tc>
                    <w:tc>
                      <w:tcPr>
                        <w:tcW w:w="0" w:type="auto"/>
                        <w:vMerge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</w:tr>
                  <w:tr w:rsidR="00972669" w:rsidRPr="00972669" w:rsidTr="00972669">
                    <w:tc>
                      <w:tcPr>
                        <w:tcW w:w="9360" w:type="dxa"/>
                        <w:gridSpan w:val="6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Детонационная стойкость: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октановое число по исследовательскому методу, не менее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80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91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98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по ГОСТ 8226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октановое число по моторному методу, не менее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76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по ГОСТ 511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9360" w:type="dxa"/>
                        <w:gridSpan w:val="6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Концентрация свинца, 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г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/дм3, не более, для бензина: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неэтилированного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0,013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по ГОСТ 28828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этилированного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0,17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-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Давление насыщенных паров, кПа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35-100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35-100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35-100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35-100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по ГОСТ 1756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9360" w:type="dxa"/>
                        <w:gridSpan w:val="6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Фракционный состав: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90% бензина перегоняется при температуре,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, не выше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190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конец кипения бензина, °</w:t>
                        </w:r>
                        <w:proofErr w:type="gramStart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С</w:t>
                        </w:r>
                        <w:proofErr w:type="gramEnd"/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 xml:space="preserve">, не </w:t>
                        </w: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выше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215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215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lastRenderedPageBreak/>
                          <w:t>остаток в колбе, %, не более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1,5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Массовая доля серы, %, не более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0,1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0,05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по ГОСТ 19121 или ГОСТ Р50442</w:t>
                        </w:r>
                      </w:p>
                    </w:tc>
                  </w:tr>
                  <w:tr w:rsidR="00972669" w:rsidRPr="00972669" w:rsidTr="00972669">
                    <w:tc>
                      <w:tcPr>
                        <w:tcW w:w="414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Объемная доля бензола, %, не более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75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220" w:type="dxa"/>
                        <w:hideMark/>
                      </w:tcPr>
                      <w:p w:rsidR="00972669" w:rsidRPr="00972669" w:rsidRDefault="00972669" w:rsidP="00972669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</w:pPr>
                        <w:r w:rsidRPr="00972669">
                          <w:rPr>
                            <w:rFonts w:ascii="Tahoma" w:eastAsia="Times New Roman" w:hAnsi="Tahoma" w:cs="Tahoma"/>
                            <w:color w:val="767676"/>
                            <w:lang w:eastAsia="ru-RU"/>
                          </w:rPr>
                          <w:t>по ГОСТ 29040</w:t>
                        </w:r>
                      </w:p>
                    </w:tc>
                  </w:tr>
                </w:tbl>
                <w:p w:rsidR="00972669" w:rsidRPr="00972669" w:rsidRDefault="00972669" w:rsidP="00972669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767676"/>
                      <w:lang w:eastAsia="ru-RU"/>
                    </w:rPr>
                  </w:pPr>
                </w:p>
              </w:tc>
            </w:tr>
          </w:tbl>
          <w:p w:rsidR="00972669" w:rsidRPr="00972669" w:rsidRDefault="00972669" w:rsidP="00972669">
            <w:pPr>
              <w:spacing w:after="0" w:line="240" w:lineRule="auto"/>
              <w:rPr>
                <w:rFonts w:ascii="Tahoma" w:eastAsia="Times New Roman" w:hAnsi="Tahoma" w:cs="Tahoma"/>
                <w:color w:val="767676"/>
                <w:lang w:eastAsia="ru-RU"/>
              </w:rPr>
            </w:pPr>
          </w:p>
        </w:tc>
      </w:tr>
    </w:tbl>
    <w:p w:rsidR="00E64808" w:rsidRDefault="00972669">
      <w:r w:rsidRPr="009726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sectPr w:rsidR="00E64808" w:rsidSect="00E64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72669"/>
    <w:rsid w:val="004D156E"/>
    <w:rsid w:val="00504CC7"/>
    <w:rsid w:val="00897F10"/>
    <w:rsid w:val="00972669"/>
    <w:rsid w:val="00985BA0"/>
    <w:rsid w:val="009E234F"/>
    <w:rsid w:val="00B02FF4"/>
    <w:rsid w:val="00C16E13"/>
    <w:rsid w:val="00D12810"/>
    <w:rsid w:val="00D71032"/>
    <w:rsid w:val="00E11693"/>
    <w:rsid w:val="00E51CA3"/>
    <w:rsid w:val="00E6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669"/>
  </w:style>
  <w:style w:type="character" w:styleId="a4">
    <w:name w:val="Hyperlink"/>
    <w:basedOn w:val="a0"/>
    <w:uiPriority w:val="99"/>
    <w:semiHidden/>
    <w:unhideWhenUsed/>
    <w:rsid w:val="00972669"/>
    <w:rPr>
      <w:color w:val="0000FF"/>
      <w:u w:val="single"/>
    </w:rPr>
  </w:style>
  <w:style w:type="table" w:styleId="a5">
    <w:name w:val="Table Grid"/>
    <w:basedOn w:val="a1"/>
    <w:uiPriority w:val="59"/>
    <w:rsid w:val="009726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il.energy1.ru/gsmhelp/?h=23" TargetMode="External"/><Relationship Id="rId13" Type="http://schemas.openxmlformats.org/officeDocument/2006/relationships/hyperlink" Target="http://oil.energy1.ru/gsmhelp/?h=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il.energy1.ru/gsmhelp/?h=23" TargetMode="External"/><Relationship Id="rId12" Type="http://schemas.openxmlformats.org/officeDocument/2006/relationships/hyperlink" Target="http://oil.energy1.ru/pe/elta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il.energy1.ru/gsmhelp/?h=23" TargetMode="External"/><Relationship Id="rId11" Type="http://schemas.openxmlformats.org/officeDocument/2006/relationships/hyperlink" Target="http://oil.energy1.ru/gsmhelp/?h=11" TargetMode="External"/><Relationship Id="rId5" Type="http://schemas.openxmlformats.org/officeDocument/2006/relationships/hyperlink" Target="http://oil.energy1.ru/gsmhelp/?h=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il.energy1.ru/gsmhelp/?h=23" TargetMode="External"/><Relationship Id="rId4" Type="http://schemas.openxmlformats.org/officeDocument/2006/relationships/hyperlink" Target="http://oil.energy1.ru/gost/208477/" TargetMode="External"/><Relationship Id="rId9" Type="http://schemas.openxmlformats.org/officeDocument/2006/relationships/hyperlink" Target="http://oil.energy1.ru/gsmhelp/?h=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2334</Words>
  <Characters>13304</Characters>
  <Application>Microsoft Office Word</Application>
  <DocSecurity>4</DocSecurity>
  <Lines>110</Lines>
  <Paragraphs>31</Paragraphs>
  <ScaleCrop>false</ScaleCrop>
  <Company>Microsoft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2014-12-22T07:40:00Z</dcterms:created>
  <dcterms:modified xsi:type="dcterms:W3CDTF">2014-12-22T07:40:00Z</dcterms:modified>
</cp:coreProperties>
</file>